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CAAD" w14:textId="626352B0" w:rsidR="004A2622" w:rsidRPr="004A2622" w:rsidRDefault="00866A21" w:rsidP="004A2622">
      <w:pPr>
        <w:spacing w:after="0" w:line="240" w:lineRule="auto"/>
        <w:rPr>
          <w:sz w:val="18"/>
          <w:szCs w:val="18"/>
        </w:rPr>
      </w:pPr>
      <w:r w:rsidRPr="004A2622">
        <w:rPr>
          <w:b/>
          <w:bCs/>
          <w:sz w:val="18"/>
          <w:szCs w:val="18"/>
        </w:rPr>
        <w:t>The SAMPLE LESSON is explained in purple lettering</w:t>
      </w:r>
      <w:r w:rsidR="00914653" w:rsidRPr="004A2622">
        <w:rPr>
          <w:b/>
          <w:bCs/>
          <w:sz w:val="18"/>
          <w:szCs w:val="18"/>
        </w:rPr>
        <w:t xml:space="preserve"> and smaller font</w:t>
      </w:r>
      <w:r w:rsidRPr="004A2622">
        <w:rPr>
          <w:b/>
          <w:bCs/>
          <w:sz w:val="18"/>
          <w:szCs w:val="18"/>
        </w:rPr>
        <w:t>.</w:t>
      </w:r>
      <w:r w:rsidR="004A2622">
        <w:rPr>
          <w:b/>
          <w:bCs/>
          <w:sz w:val="18"/>
          <w:szCs w:val="18"/>
        </w:rPr>
        <w:t xml:space="preserve"> The black print is what shows in the </w:t>
      </w:r>
      <w:r w:rsidR="00294630">
        <w:rPr>
          <w:b/>
          <w:bCs/>
          <w:sz w:val="18"/>
          <w:szCs w:val="18"/>
        </w:rPr>
        <w:t xml:space="preserve">regular </w:t>
      </w:r>
      <w:r w:rsidR="004A2622">
        <w:rPr>
          <w:b/>
          <w:bCs/>
          <w:sz w:val="18"/>
          <w:szCs w:val="18"/>
        </w:rPr>
        <w:t>lesson plan.</w:t>
      </w:r>
      <w:r w:rsidR="005202C2" w:rsidRPr="004A2622">
        <w:rPr>
          <w:b/>
          <w:bCs/>
          <w:sz w:val="18"/>
          <w:szCs w:val="18"/>
        </w:rPr>
        <w:t xml:space="preserve"> </w:t>
      </w:r>
      <w:r w:rsidR="00294630" w:rsidRPr="004A2622">
        <w:rPr>
          <w:sz w:val="18"/>
          <w:szCs w:val="18"/>
        </w:rPr>
        <w:t>The letter after the page number refers to the position on the page</w:t>
      </w:r>
      <w:r w:rsidR="00294630" w:rsidRPr="00294630">
        <w:rPr>
          <w:sz w:val="18"/>
          <w:szCs w:val="18"/>
        </w:rPr>
        <w:t xml:space="preserve"> </w:t>
      </w:r>
      <w:r w:rsidR="00294630">
        <w:rPr>
          <w:sz w:val="18"/>
          <w:szCs w:val="18"/>
        </w:rPr>
        <w:t xml:space="preserve">where </w:t>
      </w:r>
      <w:r w:rsidR="00294630" w:rsidRPr="004A2622">
        <w:rPr>
          <w:sz w:val="18"/>
          <w:szCs w:val="18"/>
        </w:rPr>
        <w:t xml:space="preserve">the information </w:t>
      </w:r>
      <w:r w:rsidR="00294630">
        <w:rPr>
          <w:sz w:val="18"/>
          <w:szCs w:val="18"/>
        </w:rPr>
        <w:t>you need is found</w:t>
      </w:r>
      <w:r w:rsidR="00294630" w:rsidRPr="004A2622">
        <w:rPr>
          <w:sz w:val="18"/>
          <w:szCs w:val="18"/>
        </w:rPr>
        <w:t>: a = first quarter, b = second quarter, c = third quarter, and d = fina1 quarter of the page. The</w:t>
      </w:r>
      <w:r w:rsidR="005202C2" w:rsidRPr="004A2622">
        <w:rPr>
          <w:sz w:val="18"/>
          <w:szCs w:val="18"/>
        </w:rPr>
        <w:t xml:space="preserve"> purple words </w:t>
      </w:r>
      <w:r w:rsidR="004A2622" w:rsidRPr="004A2622">
        <w:rPr>
          <w:sz w:val="18"/>
          <w:szCs w:val="18"/>
        </w:rPr>
        <w:t xml:space="preserve">have been inserted into the lesson plan and are </w:t>
      </w:r>
      <w:r w:rsidR="005202C2" w:rsidRPr="004A2622">
        <w:rPr>
          <w:sz w:val="18"/>
          <w:szCs w:val="18"/>
        </w:rPr>
        <w:t xml:space="preserve">directly from the </w:t>
      </w:r>
      <w:hyperlink r:id="rId5" w:history="1">
        <w:r w:rsidR="005202C2" w:rsidRPr="00294630">
          <w:rPr>
            <w:rStyle w:val="Hyperlink"/>
            <w:color w:val="0070C0"/>
            <w:sz w:val="18"/>
            <w:szCs w:val="18"/>
          </w:rPr>
          <w:t>“</w:t>
        </w:r>
        <w:r w:rsidR="00451DBD" w:rsidRPr="00294630">
          <w:rPr>
            <w:rStyle w:val="Hyperlink"/>
            <w:color w:val="0070C0"/>
            <w:sz w:val="18"/>
            <w:szCs w:val="18"/>
          </w:rPr>
          <w:t>Checklist: The Self-Instructional Steps for Learning Each Strategy</w:t>
        </w:r>
        <w:r w:rsidR="00852161" w:rsidRPr="00294630">
          <w:rPr>
            <w:rStyle w:val="Hyperlink"/>
            <w:color w:val="0070C0"/>
            <w:sz w:val="18"/>
            <w:szCs w:val="18"/>
          </w:rPr>
          <w:t>.</w:t>
        </w:r>
        <w:r w:rsidR="00EB0284" w:rsidRPr="00294630">
          <w:rPr>
            <w:rStyle w:val="Hyperlink"/>
            <w:color w:val="0070C0"/>
            <w:sz w:val="18"/>
            <w:szCs w:val="18"/>
          </w:rPr>
          <w:t>”</w:t>
        </w:r>
      </w:hyperlink>
      <w:r w:rsidR="008A3CDD" w:rsidRPr="004A2622">
        <w:rPr>
          <w:sz w:val="18"/>
          <w:szCs w:val="18"/>
        </w:rPr>
        <w:t xml:space="preserve"> </w:t>
      </w:r>
      <w:r w:rsidR="00EB23FE" w:rsidRPr="004A2622">
        <w:rPr>
          <w:sz w:val="18"/>
          <w:szCs w:val="18"/>
        </w:rPr>
        <w:t>Y</w:t>
      </w:r>
      <w:r w:rsidR="008A3CDD" w:rsidRPr="004A2622">
        <w:rPr>
          <w:sz w:val="18"/>
          <w:szCs w:val="18"/>
        </w:rPr>
        <w:t xml:space="preserve">ou </w:t>
      </w:r>
      <w:r w:rsidR="003D2868" w:rsidRPr="004A2622">
        <w:rPr>
          <w:sz w:val="18"/>
          <w:szCs w:val="18"/>
        </w:rPr>
        <w:t>will</w:t>
      </w:r>
      <w:r w:rsidR="008A3CDD" w:rsidRPr="004A2622">
        <w:rPr>
          <w:sz w:val="18"/>
          <w:szCs w:val="18"/>
        </w:rPr>
        <w:t xml:space="preserve"> use </w:t>
      </w:r>
      <w:r w:rsidR="00EB23FE" w:rsidRPr="004A2622">
        <w:rPr>
          <w:sz w:val="18"/>
          <w:szCs w:val="18"/>
        </w:rPr>
        <w:t xml:space="preserve">it </w:t>
      </w:r>
      <w:r w:rsidR="008A3CDD" w:rsidRPr="004A2622">
        <w:rPr>
          <w:sz w:val="18"/>
          <w:szCs w:val="18"/>
        </w:rPr>
        <w:t xml:space="preserve">with </w:t>
      </w:r>
      <w:r w:rsidR="00716FCA" w:rsidRPr="004A2622">
        <w:rPr>
          <w:sz w:val="18"/>
          <w:szCs w:val="18"/>
        </w:rPr>
        <w:t>each</w:t>
      </w:r>
      <w:r w:rsidR="008A3CDD" w:rsidRPr="004A2622">
        <w:rPr>
          <w:sz w:val="18"/>
          <w:szCs w:val="18"/>
        </w:rPr>
        <w:t xml:space="preserve"> lesson</w:t>
      </w:r>
      <w:r w:rsidR="00716FCA" w:rsidRPr="004A2622">
        <w:rPr>
          <w:sz w:val="18"/>
          <w:szCs w:val="18"/>
        </w:rPr>
        <w:t xml:space="preserve"> you do</w:t>
      </w:r>
      <w:r w:rsidR="004A2622">
        <w:rPr>
          <w:sz w:val="18"/>
          <w:szCs w:val="18"/>
        </w:rPr>
        <w:t xml:space="preserve">. </w:t>
      </w:r>
      <w:r w:rsidR="004A2622" w:rsidRPr="004A2622">
        <w:rPr>
          <w:sz w:val="18"/>
          <w:szCs w:val="18"/>
        </w:rPr>
        <w:t xml:space="preserve">The page numbers </w:t>
      </w:r>
      <w:r w:rsidR="004A2622">
        <w:rPr>
          <w:sz w:val="18"/>
          <w:szCs w:val="18"/>
        </w:rPr>
        <w:t xml:space="preserve">listed </w:t>
      </w:r>
      <w:r w:rsidR="004A2622" w:rsidRPr="004A2622">
        <w:rPr>
          <w:sz w:val="18"/>
          <w:szCs w:val="18"/>
        </w:rPr>
        <w:t>are those pages from the handbook. But</w:t>
      </w:r>
      <w:r w:rsidR="004A2622">
        <w:rPr>
          <w:sz w:val="18"/>
          <w:szCs w:val="18"/>
        </w:rPr>
        <w:t xml:space="preserve"> for this sample lesson, </w:t>
      </w:r>
      <w:r w:rsidR="004A2622" w:rsidRPr="004A2622">
        <w:rPr>
          <w:sz w:val="18"/>
          <w:szCs w:val="18"/>
        </w:rPr>
        <w:t xml:space="preserve">we supply the pages digitally for </w:t>
      </w:r>
      <w:r w:rsidR="004A2622">
        <w:rPr>
          <w:sz w:val="18"/>
          <w:szCs w:val="18"/>
        </w:rPr>
        <w:t>you to use</w:t>
      </w:r>
      <w:r w:rsidR="004A2622" w:rsidRPr="004A2622">
        <w:rPr>
          <w:sz w:val="18"/>
          <w:szCs w:val="18"/>
        </w:rPr>
        <w:t xml:space="preserve">. </w:t>
      </w:r>
      <w:hyperlink r:id="rId6" w:history="1">
        <w:r w:rsidR="00294630" w:rsidRPr="00294630">
          <w:rPr>
            <w:rStyle w:val="Hyperlink"/>
            <w:color w:val="0070C0"/>
            <w:sz w:val="18"/>
            <w:szCs w:val="18"/>
          </w:rPr>
          <w:t>CLICK here</w:t>
        </w:r>
      </w:hyperlink>
      <w:r w:rsidR="00294630" w:rsidRPr="004A2622">
        <w:rPr>
          <w:sz w:val="18"/>
          <w:szCs w:val="18"/>
        </w:rPr>
        <w:t xml:space="preserve"> </w:t>
      </w:r>
      <w:r w:rsidR="00294630" w:rsidRPr="00294630">
        <w:rPr>
          <w:sz w:val="18"/>
          <w:szCs w:val="18"/>
        </w:rPr>
        <w:t xml:space="preserve">for the text pages from </w:t>
      </w:r>
      <w:r w:rsidR="00294630" w:rsidRPr="00294630">
        <w:rPr>
          <w:i/>
          <w:iCs/>
          <w:sz w:val="18"/>
          <w:szCs w:val="18"/>
        </w:rPr>
        <w:t xml:space="preserve">Learn More &amp; Read Faster, </w:t>
      </w:r>
      <w:r w:rsidR="00294630" w:rsidRPr="00294630">
        <w:rPr>
          <w:sz w:val="18"/>
          <w:szCs w:val="18"/>
        </w:rPr>
        <w:t>4</w:t>
      </w:r>
      <w:r w:rsidR="00294630" w:rsidRPr="00294630">
        <w:rPr>
          <w:sz w:val="18"/>
          <w:szCs w:val="18"/>
          <w:vertAlign w:val="superscript"/>
        </w:rPr>
        <w:t>th</w:t>
      </w:r>
      <w:r w:rsidR="00294630" w:rsidRPr="00294630">
        <w:rPr>
          <w:sz w:val="18"/>
          <w:szCs w:val="18"/>
        </w:rPr>
        <w:t xml:space="preserve"> edition.</w:t>
      </w:r>
      <w:r w:rsidR="00294630" w:rsidRPr="004A2622">
        <w:rPr>
          <w:sz w:val="18"/>
          <w:szCs w:val="18"/>
        </w:rPr>
        <w:t xml:space="preserve"> </w:t>
      </w:r>
    </w:p>
    <w:p w14:paraId="6E7B11EB" w14:textId="77777777" w:rsidR="00716FCA" w:rsidRDefault="00716FCA" w:rsidP="00866A21">
      <w:pPr>
        <w:spacing w:after="0" w:line="240" w:lineRule="auto"/>
        <w:rPr>
          <w:b/>
          <w:bCs/>
          <w:sz w:val="28"/>
          <w:szCs w:val="28"/>
        </w:rPr>
      </w:pPr>
    </w:p>
    <w:p w14:paraId="5CA883D4" w14:textId="7DDBE03F" w:rsidR="00866A21" w:rsidRDefault="00866A21" w:rsidP="00866A21">
      <w:pPr>
        <w:spacing w:after="0" w:line="240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Lesson </w:t>
      </w:r>
      <w:r w:rsidRPr="0095404C">
        <w:rPr>
          <w:b/>
          <w:bCs/>
          <w:sz w:val="28"/>
          <w:szCs w:val="28"/>
        </w:rPr>
        <w:t>2 Preview for Structure</w:t>
      </w:r>
      <w:r>
        <w:rPr>
          <w:b/>
          <w:bCs/>
          <w:sz w:val="28"/>
          <w:szCs w:val="28"/>
        </w:rPr>
        <w:t xml:space="preserve">: </w:t>
      </w:r>
      <w:r w:rsidRPr="0095404C">
        <w:rPr>
          <w:b/>
          <w:bCs/>
          <w:i/>
          <w:iCs/>
          <w:sz w:val="28"/>
          <w:szCs w:val="28"/>
        </w:rPr>
        <w:t>Skeleton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="003D2868" w:rsidRPr="003D2868">
        <w:rPr>
          <w:sz w:val="20"/>
          <w:szCs w:val="20"/>
        </w:rPr>
        <w:t xml:space="preserve">Estimated </w:t>
      </w:r>
      <w:r w:rsidRPr="003D2868">
        <w:rPr>
          <w:sz w:val="20"/>
          <w:szCs w:val="20"/>
        </w:rPr>
        <w:t>Learning</w:t>
      </w:r>
      <w:r>
        <w:rPr>
          <w:sz w:val="20"/>
          <w:szCs w:val="20"/>
        </w:rPr>
        <w:t xml:space="preserve"> </w:t>
      </w:r>
      <w:r w:rsidRPr="00FE18CF">
        <w:rPr>
          <w:sz w:val="20"/>
          <w:szCs w:val="20"/>
        </w:rPr>
        <w:t>T</w:t>
      </w:r>
      <w:r>
        <w:rPr>
          <w:sz w:val="20"/>
          <w:szCs w:val="20"/>
        </w:rPr>
        <w:t>ime</w:t>
      </w:r>
      <w:r w:rsidRPr="00FE18CF">
        <w:rPr>
          <w:sz w:val="20"/>
          <w:szCs w:val="20"/>
        </w:rPr>
        <w:t>:</w:t>
      </w:r>
      <w:r w:rsidRPr="00E74C50">
        <w:rPr>
          <w:sz w:val="20"/>
          <w:szCs w:val="20"/>
        </w:rPr>
        <w:t xml:space="preserve"> </w:t>
      </w:r>
      <w:r>
        <w:rPr>
          <w:sz w:val="20"/>
          <w:szCs w:val="20"/>
        </w:rPr>
        <w:t>&lt;40</w:t>
      </w:r>
      <w:r w:rsidRPr="00E74C50">
        <w:rPr>
          <w:sz w:val="20"/>
          <w:szCs w:val="20"/>
        </w:rPr>
        <w:t xml:space="preserve"> min. </w:t>
      </w:r>
    </w:p>
    <w:p w14:paraId="03E1F5F0" w14:textId="0DF6E76F" w:rsidR="00866A21" w:rsidRPr="00914653" w:rsidRDefault="00866A21" w:rsidP="00866A21">
      <w:pPr>
        <w:spacing w:before="240" w:after="240"/>
        <w:rPr>
          <w:color w:val="7030A0"/>
          <w:sz w:val="18"/>
          <w:szCs w:val="18"/>
        </w:rPr>
      </w:pPr>
      <w:r w:rsidRPr="0095404C">
        <w:rPr>
          <w:i/>
          <w:iCs/>
          <w:sz w:val="22"/>
        </w:rPr>
        <w:t xml:space="preserve">Skeleton </w:t>
      </w:r>
      <w:r w:rsidRPr="0095404C">
        <w:rPr>
          <w:sz w:val="22"/>
        </w:rPr>
        <w:t>is presented first so you can experience a useful and important strategy immediately and so you can see how learning a strategy from the handbook works</w:t>
      </w:r>
      <w:r>
        <w:rPr>
          <w:sz w:val="22"/>
        </w:rPr>
        <w:t xml:space="preserve"> in this program.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5"/>
        <w:gridCol w:w="6835"/>
      </w:tblGrid>
      <w:tr w:rsidR="00866A21" w14:paraId="23143542" w14:textId="77777777" w:rsidTr="00EF37FB">
        <w:tc>
          <w:tcPr>
            <w:tcW w:w="2155" w:type="dxa"/>
            <w:vAlign w:val="center"/>
          </w:tcPr>
          <w:p w14:paraId="0EA499AF" w14:textId="77777777" w:rsidR="00866A21" w:rsidRDefault="00866A21" w:rsidP="00EF37FB">
            <w:pPr>
              <w:jc w:val="center"/>
              <w:rPr>
                <w:sz w:val="22"/>
              </w:rPr>
            </w:pPr>
            <w:r w:rsidRPr="0012718B">
              <w:rPr>
                <w:b/>
                <w:bCs/>
                <w:sz w:val="20"/>
                <w:szCs w:val="20"/>
              </w:rPr>
              <w:t>Follow the Checklist</w:t>
            </w:r>
            <w:r>
              <w:rPr>
                <w:sz w:val="22"/>
              </w:rPr>
              <w:t xml:space="preserve">, </w:t>
            </w:r>
            <w:r w:rsidRPr="00F56C6E">
              <w:rPr>
                <w:sz w:val="18"/>
                <w:szCs w:val="18"/>
              </w:rPr>
              <w:t>for the Essential Strategies</w:t>
            </w:r>
          </w:p>
        </w:tc>
        <w:tc>
          <w:tcPr>
            <w:tcW w:w="6835" w:type="dxa"/>
            <w:vAlign w:val="center"/>
          </w:tcPr>
          <w:p w14:paraId="5BA88977" w14:textId="77777777" w:rsidR="00866A21" w:rsidRDefault="00866A21" w:rsidP="00EF37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Information Needed to Do the Checklist</w:t>
            </w:r>
          </w:p>
          <w:p w14:paraId="116115BE" w14:textId="77777777" w:rsidR="00866A21" w:rsidRDefault="00866A21" w:rsidP="00EF37FB">
            <w:pPr>
              <w:jc w:val="center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 for This Specific </w:t>
            </w:r>
            <w:r w:rsidRPr="006E4CA4">
              <w:rPr>
                <w:sz w:val="22"/>
                <w:u w:val="single"/>
              </w:rPr>
              <w:t>Principle</w:t>
            </w:r>
            <w:r>
              <w:rPr>
                <w:sz w:val="22"/>
              </w:rPr>
              <w:t xml:space="preserve"> and </w:t>
            </w:r>
            <w:r w:rsidRPr="006E4CA4">
              <w:rPr>
                <w:i/>
                <w:iCs/>
                <w:sz w:val="22"/>
              </w:rPr>
              <w:t>Strategy</w:t>
            </w:r>
          </w:p>
          <w:p w14:paraId="6BAE9197" w14:textId="69F25984" w:rsidR="004A2622" w:rsidRPr="004A2622" w:rsidRDefault="004A2622" w:rsidP="00EF37FB">
            <w:pPr>
              <w:jc w:val="center"/>
              <w:rPr>
                <w:sz w:val="22"/>
              </w:rPr>
            </w:pPr>
          </w:p>
        </w:tc>
      </w:tr>
      <w:tr w:rsidR="00866A21" w14:paraId="293FC6C7" w14:textId="77777777" w:rsidTr="00EF37FB">
        <w:tc>
          <w:tcPr>
            <w:tcW w:w="2155" w:type="dxa"/>
            <w:vAlign w:val="center"/>
          </w:tcPr>
          <w:p w14:paraId="594BF1ED" w14:textId="77777777" w:rsidR="00866A21" w:rsidRDefault="00866A21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1 Chapter Intro</w:t>
            </w:r>
          </w:p>
        </w:tc>
        <w:tc>
          <w:tcPr>
            <w:tcW w:w="6835" w:type="dxa"/>
            <w:vAlign w:val="center"/>
          </w:tcPr>
          <w:p w14:paraId="113E2DFF" w14:textId="77777777" w:rsidR="004A2622" w:rsidRPr="004A2622" w:rsidRDefault="00592E95" w:rsidP="004A2622">
            <w:pPr>
              <w:pStyle w:val="ListParagraph"/>
              <w:numPr>
                <w:ilvl w:val="0"/>
                <w:numId w:val="1"/>
              </w:numPr>
              <w:ind w:left="706" w:hanging="706"/>
              <w:rPr>
                <w:sz w:val="22"/>
              </w:rPr>
            </w:pPr>
            <w:r w:rsidRPr="0091465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Read the short introduction at the beginning of the chapter </w:t>
            </w:r>
            <w:bookmarkStart w:id="0" w:name="_Hlk120717861"/>
            <w:r w:rsidRPr="0091465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(usually &lt; 30 sec.) </w:t>
            </w:r>
            <w:bookmarkEnd w:id="0"/>
          </w:p>
          <w:p w14:paraId="518CFFD7" w14:textId="3BB105F4" w:rsidR="00866A21" w:rsidRPr="004A2622" w:rsidRDefault="00866A21" w:rsidP="004A2622">
            <w:pPr>
              <w:rPr>
                <w:sz w:val="22"/>
              </w:rPr>
            </w:pPr>
            <w:r w:rsidRPr="004A2622">
              <w:rPr>
                <w:sz w:val="22"/>
              </w:rPr>
              <w:t xml:space="preserve">p. 25a </w:t>
            </w:r>
            <w:r w:rsidR="00592E95" w:rsidRPr="004A2622">
              <w:rPr>
                <w:color w:val="7030A0"/>
                <w:sz w:val="18"/>
                <w:szCs w:val="18"/>
              </w:rPr>
              <w:t xml:space="preserve">(the first 6 lines at the top) </w:t>
            </w:r>
            <w:r w:rsidRPr="004A2622">
              <w:rPr>
                <w:sz w:val="22"/>
              </w:rPr>
              <w:t>and page listed therein: p. 342, then 51</w:t>
            </w:r>
          </w:p>
        </w:tc>
      </w:tr>
      <w:tr w:rsidR="00866A21" w14:paraId="76316495" w14:textId="77777777" w:rsidTr="00EF37FB">
        <w:tc>
          <w:tcPr>
            <w:tcW w:w="2155" w:type="dxa"/>
            <w:vAlign w:val="center"/>
          </w:tcPr>
          <w:p w14:paraId="0EB99ACF" w14:textId="77777777" w:rsidR="00866A21" w:rsidRDefault="00866A21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2 Preview</w:t>
            </w:r>
          </w:p>
        </w:tc>
        <w:tc>
          <w:tcPr>
            <w:tcW w:w="6835" w:type="dxa"/>
            <w:vAlign w:val="center"/>
          </w:tcPr>
          <w:p w14:paraId="45722F55" w14:textId="77777777" w:rsidR="000E2407" w:rsidRPr="000E2407" w:rsidRDefault="000E2407" w:rsidP="000E2407">
            <w:pPr>
              <w:pStyle w:val="ListParagraph"/>
              <w:numPr>
                <w:ilvl w:val="0"/>
                <w:numId w:val="1"/>
              </w:numPr>
              <w:ind w:left="702" w:hanging="720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0E2407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Quickly preview all the pages specified for the lesson. Mainly look at the headings, first line after each, and last sentence of each section.</w:t>
            </w:r>
          </w:p>
          <w:p w14:paraId="0174BADD" w14:textId="431BEFC8" w:rsidR="00866A21" w:rsidRDefault="00866A21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pp. 25-30</w:t>
            </w:r>
          </w:p>
        </w:tc>
      </w:tr>
      <w:tr w:rsidR="00866A21" w14:paraId="3ED28498" w14:textId="77777777" w:rsidTr="00EF37FB">
        <w:tc>
          <w:tcPr>
            <w:tcW w:w="2155" w:type="dxa"/>
            <w:vAlign w:val="center"/>
          </w:tcPr>
          <w:p w14:paraId="5FECA017" w14:textId="77777777" w:rsidR="00866A21" w:rsidRDefault="00866A21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r w:rsidRPr="000A50B1">
              <w:rPr>
                <w:sz w:val="22"/>
                <w:u w:val="single"/>
              </w:rPr>
              <w:t>Principle</w:t>
            </w:r>
          </w:p>
        </w:tc>
        <w:tc>
          <w:tcPr>
            <w:tcW w:w="6835" w:type="dxa"/>
            <w:vAlign w:val="center"/>
          </w:tcPr>
          <w:p w14:paraId="3BE7F674" w14:textId="47559762" w:rsidR="00914653" w:rsidRPr="00914653" w:rsidRDefault="00914653" w:rsidP="007F1CC5">
            <w:pPr>
              <w:pStyle w:val="ListParagraph"/>
              <w:numPr>
                <w:ilvl w:val="0"/>
                <w:numId w:val="1"/>
              </w:numPr>
              <w:tabs>
                <w:tab w:val="left" w:pos="706"/>
              </w:tabs>
              <w:ind w:left="702" w:hanging="720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91465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Read the </w:t>
            </w:r>
            <w:r w:rsidRPr="00914653">
              <w:rPr>
                <w:rFonts w:asciiTheme="minorHAnsi" w:hAnsiTheme="minorHAnsi" w:cstheme="minorHAnsi"/>
                <w:color w:val="7030A0"/>
                <w:sz w:val="18"/>
                <w:szCs w:val="18"/>
                <w:u w:val="single"/>
              </w:rPr>
              <w:t>Principle</w:t>
            </w:r>
            <w:r w:rsidR="009A5031">
              <w:rPr>
                <w:rFonts w:asciiTheme="minorHAnsi" w:hAnsiTheme="minorHAnsi" w:cstheme="minorHAnsi"/>
                <w:color w:val="7030A0"/>
                <w:sz w:val="18"/>
                <w:szCs w:val="18"/>
                <w:u w:val="single"/>
              </w:rPr>
              <w:t xml:space="preserve"> </w:t>
            </w:r>
            <w:r w:rsidR="009A5031" w:rsidRPr="007F1CC5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at the top of the page</w:t>
            </w:r>
            <w:r w:rsidR="007F1CC5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, speculate its meaning,</w:t>
            </w:r>
            <w:r w:rsidRPr="0091465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and learn from these</w:t>
            </w:r>
            <w:r w:rsidR="00E26B8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: </w:t>
            </w:r>
            <w:proofErr w:type="gramStart"/>
            <w:r w:rsidR="00E26B8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 </w:t>
            </w:r>
            <w:r w:rsidRPr="0091465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(</w:t>
            </w:r>
            <w:proofErr w:type="gramEnd"/>
            <w:r w:rsidRPr="0091465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usually &lt;7 min.)</w:t>
            </w:r>
          </w:p>
          <w:p w14:paraId="4CE69077" w14:textId="77777777" w:rsidR="00914653" w:rsidRPr="00914653" w:rsidRDefault="00914653" w:rsidP="00E26B8C">
            <w:pPr>
              <w:pStyle w:val="ListParagraph"/>
              <w:numPr>
                <w:ilvl w:val="1"/>
                <w:numId w:val="3"/>
              </w:numPr>
              <w:tabs>
                <w:tab w:val="left" w:pos="1170"/>
              </w:tabs>
              <w:ind w:left="1066" w:right="-90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91465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QUESTIONS (top of left-hand column) to guide and evaluate your learning of the principle and strategy. Can you answer some now using your pre-existing knowledge?</w:t>
            </w:r>
          </w:p>
          <w:p w14:paraId="4440F448" w14:textId="77777777" w:rsidR="00914653" w:rsidRPr="00914653" w:rsidRDefault="00914653" w:rsidP="00E26B8C">
            <w:pPr>
              <w:pStyle w:val="ListParagraph"/>
              <w:numPr>
                <w:ilvl w:val="1"/>
                <w:numId w:val="3"/>
              </w:numPr>
              <w:tabs>
                <w:tab w:val="left" w:pos="1170"/>
              </w:tabs>
              <w:ind w:left="1066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91465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KEY CONCEPTS (listed in box at the top of the right-hand column).</w:t>
            </w:r>
          </w:p>
          <w:p w14:paraId="0AE839D6" w14:textId="77777777" w:rsidR="00914653" w:rsidRPr="00914653" w:rsidRDefault="00914653" w:rsidP="00E26B8C">
            <w:pPr>
              <w:pStyle w:val="ListParagraph"/>
              <w:numPr>
                <w:ilvl w:val="1"/>
                <w:numId w:val="3"/>
              </w:numPr>
              <w:tabs>
                <w:tab w:val="left" w:pos="1170"/>
              </w:tabs>
              <w:ind w:left="1066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91465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EXPLANATIONS of </w:t>
            </w:r>
            <w:r w:rsidRPr="00914653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What, </w:t>
            </w:r>
            <w:proofErr w:type="gramStart"/>
            <w:r w:rsidRPr="00914653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Why</w:t>
            </w:r>
            <w:proofErr w:type="gramEnd"/>
            <w:r w:rsidRPr="00914653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, </w:t>
            </w:r>
            <w:r w:rsidRPr="0091465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and </w:t>
            </w:r>
            <w:r w:rsidRPr="00914653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How. </w:t>
            </w:r>
            <w:r w:rsidRPr="0091465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Be able to tell what the principle is, why it’s important, and how to use it generally as your read.</w:t>
            </w:r>
          </w:p>
          <w:p w14:paraId="13C67065" w14:textId="50E42328" w:rsidR="00866A21" w:rsidRDefault="00866A21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pp. 25-26  </w:t>
            </w:r>
          </w:p>
        </w:tc>
      </w:tr>
      <w:tr w:rsidR="00866A21" w14:paraId="5D49DE2E" w14:textId="77777777" w:rsidTr="00EF37FB">
        <w:trPr>
          <w:trHeight w:val="170"/>
        </w:trPr>
        <w:tc>
          <w:tcPr>
            <w:tcW w:w="2155" w:type="dxa"/>
            <w:vAlign w:val="center"/>
          </w:tcPr>
          <w:p w14:paraId="2D359403" w14:textId="77777777" w:rsidR="00866A21" w:rsidRDefault="00866A21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  <w:r w:rsidRPr="000A50B1">
              <w:rPr>
                <w:i/>
                <w:iCs/>
                <w:sz w:val="22"/>
              </w:rPr>
              <w:t>Strategy</w:t>
            </w:r>
          </w:p>
        </w:tc>
        <w:tc>
          <w:tcPr>
            <w:tcW w:w="6835" w:type="dxa"/>
            <w:vAlign w:val="center"/>
          </w:tcPr>
          <w:p w14:paraId="4619B087" w14:textId="250A2CE5" w:rsidR="00E26B8C" w:rsidRPr="00851802" w:rsidRDefault="00911249" w:rsidP="00911249">
            <w:pPr>
              <w:ind w:left="706" w:hanging="706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___ </w:t>
            </w:r>
            <w:r w:rsidR="00851802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.      </w:t>
            </w:r>
            <w:r w:rsidR="00E26B8C" w:rsidRPr="00851802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Read how to do the specific </w:t>
            </w:r>
            <w:r w:rsidR="00E26B8C" w:rsidRPr="00851802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Strategy </w:t>
            </w:r>
            <w:r w:rsidR="00E26B8C" w:rsidRPr="00851802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that embodies the principle: (usually &lt;16 min.)</w:t>
            </w:r>
          </w:p>
          <w:p w14:paraId="629602B5" w14:textId="77AB0ACB" w:rsidR="00E26B8C" w:rsidRPr="00E26B8C" w:rsidRDefault="00E26B8C" w:rsidP="00E26B8C">
            <w:pPr>
              <w:pStyle w:val="ListParagraph"/>
              <w:numPr>
                <w:ilvl w:val="1"/>
                <w:numId w:val="4"/>
              </w:numPr>
              <w:tabs>
                <w:tab w:val="left" w:pos="1170"/>
              </w:tabs>
              <w:ind w:left="1066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E26B8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The shaded box with strategy’s name centered in large, bolded letters.</w:t>
            </w:r>
          </w:p>
          <w:p w14:paraId="2FF2C786" w14:textId="77777777" w:rsidR="00E26B8C" w:rsidRPr="00E26B8C" w:rsidRDefault="00E26B8C" w:rsidP="00E26B8C">
            <w:pPr>
              <w:pStyle w:val="ListParagraph"/>
              <w:numPr>
                <w:ilvl w:val="1"/>
                <w:numId w:val="4"/>
              </w:numPr>
              <w:tabs>
                <w:tab w:val="left" w:pos="1170"/>
              </w:tabs>
              <w:ind w:left="1066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E26B8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“When and Under What Conditions” to use the strategy.</w:t>
            </w:r>
          </w:p>
          <w:p w14:paraId="0FDD3D7E" w14:textId="77777777" w:rsidR="00E26B8C" w:rsidRPr="00E26B8C" w:rsidRDefault="00E26B8C" w:rsidP="00E26B8C">
            <w:pPr>
              <w:pStyle w:val="ListParagraph"/>
              <w:numPr>
                <w:ilvl w:val="1"/>
                <w:numId w:val="4"/>
              </w:numPr>
              <w:tabs>
                <w:tab w:val="left" w:pos="1170"/>
              </w:tabs>
              <w:ind w:left="1066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E26B8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“Tips” to enhance the use of the strategy. Students have found these helpful.</w:t>
            </w:r>
          </w:p>
          <w:p w14:paraId="358CCE23" w14:textId="77777777" w:rsidR="00E26B8C" w:rsidRPr="00E26B8C" w:rsidRDefault="00E26B8C" w:rsidP="00E26B8C">
            <w:pPr>
              <w:pStyle w:val="ListParagraph"/>
              <w:numPr>
                <w:ilvl w:val="1"/>
                <w:numId w:val="4"/>
              </w:numPr>
              <w:tabs>
                <w:tab w:val="left" w:pos="1170"/>
              </w:tabs>
              <w:ind w:left="1066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E26B8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“E-Text Adaptations” to use the strategy with digital texts. (Appendix C offers more.) </w:t>
            </w:r>
          </w:p>
          <w:p w14:paraId="75CCD380" w14:textId="77777777" w:rsidR="00E26B8C" w:rsidRPr="00E26B8C" w:rsidRDefault="00E26B8C" w:rsidP="00E26B8C">
            <w:pPr>
              <w:pStyle w:val="ListParagraph"/>
              <w:numPr>
                <w:ilvl w:val="1"/>
                <w:numId w:val="4"/>
              </w:numPr>
              <w:tabs>
                <w:tab w:val="left" w:pos="1170"/>
              </w:tabs>
              <w:ind w:left="1066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E26B8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“Handle the Vocabulary Load” to use the strategy to learn important vocabulary for your classes. (Appendix B gives additional guidance.)</w:t>
            </w:r>
          </w:p>
          <w:p w14:paraId="4DDADDF2" w14:textId="77777777" w:rsidR="00E26B8C" w:rsidRPr="00E26B8C" w:rsidRDefault="00E26B8C" w:rsidP="00E26B8C">
            <w:pPr>
              <w:pStyle w:val="ListParagraph"/>
              <w:numPr>
                <w:ilvl w:val="1"/>
                <w:numId w:val="4"/>
              </w:numPr>
              <w:tabs>
                <w:tab w:val="left" w:pos="1170"/>
              </w:tabs>
              <w:ind w:left="1066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E26B8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“Push through to More Scholarly Thinking” to think more deeply about what you read.</w:t>
            </w:r>
          </w:p>
          <w:p w14:paraId="60815DE9" w14:textId="77777777" w:rsidR="00E26B8C" w:rsidRPr="00E26B8C" w:rsidRDefault="00E26B8C" w:rsidP="00E26B8C">
            <w:pPr>
              <w:pStyle w:val="ListParagraph"/>
              <w:numPr>
                <w:ilvl w:val="1"/>
                <w:numId w:val="4"/>
              </w:numPr>
              <w:tabs>
                <w:tab w:val="left" w:pos="1170"/>
              </w:tabs>
              <w:ind w:left="1066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E26B8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“What Readers Say” about their experiences using the strategy.</w:t>
            </w:r>
          </w:p>
          <w:p w14:paraId="037CA404" w14:textId="77777777" w:rsidR="00490ED0" w:rsidRDefault="00E26B8C" w:rsidP="00490ED0">
            <w:pPr>
              <w:pStyle w:val="ListParagraph"/>
              <w:numPr>
                <w:ilvl w:val="1"/>
                <w:numId w:val="4"/>
              </w:numPr>
              <w:tabs>
                <w:tab w:val="left" w:pos="1170"/>
              </w:tabs>
              <w:ind w:left="1066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E26B8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Any figures, tables, and other materials to increase understanding of the strategy.</w:t>
            </w:r>
          </w:p>
          <w:p w14:paraId="0A15D392" w14:textId="77777777" w:rsidR="00490ED0" w:rsidRDefault="00490ED0" w:rsidP="00490ED0">
            <w:pPr>
              <w:tabs>
                <w:tab w:val="left" w:pos="1170"/>
              </w:tabs>
              <w:rPr>
                <w:sz w:val="22"/>
              </w:rPr>
            </w:pPr>
          </w:p>
          <w:p w14:paraId="7B7BF3EE" w14:textId="660B43A8" w:rsidR="00866A21" w:rsidRPr="00490ED0" w:rsidRDefault="00866A21" w:rsidP="00490ED0">
            <w:pPr>
              <w:tabs>
                <w:tab w:val="left" w:pos="1170"/>
              </w:tabs>
              <w:rPr>
                <w:sz w:val="22"/>
              </w:rPr>
            </w:pPr>
            <w:r w:rsidRPr="00490ED0">
              <w:rPr>
                <w:sz w:val="22"/>
              </w:rPr>
              <w:t>pp. 27-</w:t>
            </w:r>
            <w:r w:rsidR="00540FEF">
              <w:rPr>
                <w:sz w:val="22"/>
              </w:rPr>
              <w:t>28</w:t>
            </w:r>
          </w:p>
        </w:tc>
      </w:tr>
      <w:tr w:rsidR="00866A21" w14:paraId="294EB93E" w14:textId="77777777" w:rsidTr="00EF37FB">
        <w:trPr>
          <w:trHeight w:val="170"/>
        </w:trPr>
        <w:tc>
          <w:tcPr>
            <w:tcW w:w="2155" w:type="dxa"/>
            <w:vAlign w:val="center"/>
          </w:tcPr>
          <w:p w14:paraId="75DD7A20" w14:textId="77777777" w:rsidR="00866A21" w:rsidRDefault="00866A21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5 Demonstration</w:t>
            </w:r>
          </w:p>
        </w:tc>
        <w:tc>
          <w:tcPr>
            <w:tcW w:w="6835" w:type="dxa"/>
            <w:vAlign w:val="center"/>
          </w:tcPr>
          <w:p w14:paraId="43F264FB" w14:textId="656B097B" w:rsidR="00851802" w:rsidRPr="00DD43E7" w:rsidRDefault="00DD43E7" w:rsidP="00490ED0">
            <w:pPr>
              <w:pStyle w:val="ListParagraph"/>
              <w:numPr>
                <w:ilvl w:val="0"/>
                <w:numId w:val="7"/>
              </w:numPr>
              <w:spacing w:after="120"/>
              <w:ind w:left="616" w:hanging="630"/>
              <w:rPr>
                <w:rFonts w:asciiTheme="minorHAnsi" w:hAnsiTheme="minorHAnsi" w:cstheme="minorHAnsi"/>
                <w:color w:val="7030A0"/>
                <w:sz w:val="8"/>
                <w:szCs w:val="8"/>
              </w:rPr>
            </w:pPr>
            <w:r w:rsidRPr="00DD43E7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490ED0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Watch a student demonstrate the strategy—either </w:t>
            </w:r>
            <w:r w:rsidR="00540FEF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</w:t>
            </w:r>
            <w:r w:rsidR="00490ED0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a YouTube video or a PPT. URLs are provided.</w:t>
            </w:r>
          </w:p>
          <w:p w14:paraId="4CA321A6" w14:textId="2F15D29B" w:rsidR="00866A21" w:rsidRDefault="00866A21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Watch the </w:t>
            </w:r>
            <w:r w:rsidRPr="00CC4264">
              <w:rPr>
                <w:sz w:val="22"/>
              </w:rPr>
              <w:t>video:</w:t>
            </w:r>
            <w:r>
              <w:rPr>
                <w:sz w:val="22"/>
              </w:rPr>
              <w:t xml:space="preserve"> </w:t>
            </w:r>
            <w:r w:rsidRPr="00CC4264">
              <w:rPr>
                <w:rFonts w:ascii="Arial" w:eastAsia="Times New Roman" w:hAnsi="Arial" w:cs="Arial"/>
                <w:color w:val="000000"/>
                <w:sz w:val="22"/>
              </w:rPr>
              <w:t>Skeleton:</w:t>
            </w:r>
            <w:r w:rsidRPr="00CC426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 </w:t>
            </w:r>
            <w:hyperlink r:id="rId7" w:history="1">
              <w:r w:rsidR="000F5EC0" w:rsidRPr="00970329">
                <w:rPr>
                  <w:rStyle w:val="Hyperlink"/>
                  <w:rFonts w:ascii="Arial" w:hAnsi="Arial" w:cs="Arial"/>
                  <w:sz w:val="22"/>
                  <w:szCs w:val="20"/>
                </w:rPr>
                <w:t>https://www.youtube.com/watch?v=SI_Gd2mZtaE&amp;t=7s</w:t>
              </w:r>
            </w:hyperlink>
            <w:r w:rsidR="000F5EC0">
              <w:rPr>
                <w:rFonts w:eastAsia="Times New Roman" w:cstheme="minorHAnsi"/>
                <w:color w:val="000000"/>
              </w:rPr>
              <w:t xml:space="preserve"> </w:t>
            </w:r>
            <w:r w:rsidR="00490ED0">
              <w:rPr>
                <w:rFonts w:eastAsia="Times New Roman" w:cstheme="minorHAnsi"/>
                <w:color w:val="000000"/>
              </w:rPr>
              <w:t>(7:19)</w:t>
            </w:r>
          </w:p>
        </w:tc>
      </w:tr>
      <w:tr w:rsidR="00866A21" w14:paraId="2FA37D00" w14:textId="77777777" w:rsidTr="00EF37FB">
        <w:tc>
          <w:tcPr>
            <w:tcW w:w="2155" w:type="dxa"/>
            <w:vAlign w:val="center"/>
          </w:tcPr>
          <w:p w14:paraId="4C25547E" w14:textId="77777777" w:rsidR="00866A21" w:rsidRDefault="00866A21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6 </w:t>
            </w:r>
            <w:proofErr w:type="spellStart"/>
            <w:r>
              <w:rPr>
                <w:sz w:val="22"/>
              </w:rPr>
              <w:t>ThinkSheet</w:t>
            </w:r>
            <w:proofErr w:type="spellEnd"/>
          </w:p>
        </w:tc>
        <w:tc>
          <w:tcPr>
            <w:tcW w:w="6835" w:type="dxa"/>
            <w:vAlign w:val="center"/>
          </w:tcPr>
          <w:p w14:paraId="592F765F" w14:textId="1AA1025D" w:rsidR="00540FEF" w:rsidRPr="00490ED0" w:rsidRDefault="00540FEF" w:rsidP="00540FEF">
            <w:pPr>
              <w:pStyle w:val="ListParagraph"/>
              <w:numPr>
                <w:ilvl w:val="0"/>
                <w:numId w:val="7"/>
              </w:numPr>
              <w:tabs>
                <w:tab w:val="left" w:pos="1170"/>
              </w:tabs>
              <w:ind w:left="706" w:hanging="720"/>
              <w:rPr>
                <w:sz w:val="22"/>
              </w:rPr>
            </w:pPr>
            <w:r w:rsidRPr="00490ED0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Make a </w:t>
            </w:r>
            <w:r w:rsidR="00D76ADE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hard </w:t>
            </w:r>
            <w:r w:rsidRPr="00490ED0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copy of the </w:t>
            </w:r>
            <w:proofErr w:type="spellStart"/>
            <w:r w:rsidRPr="00490ED0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ThinkSheet</w:t>
            </w:r>
            <w:proofErr w:type="spellEnd"/>
            <w:r w:rsidRPr="00490ED0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from handbook or </w:t>
            </w:r>
            <w:r w:rsidR="00D76ADE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from the link provided to the </w:t>
            </w:r>
            <w:r w:rsidRPr="00490ED0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website. Study it and any examples</w:t>
            </w:r>
            <w:r w:rsidR="00D76ADE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carefully</w:t>
            </w:r>
            <w:r w:rsidRPr="00490ED0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. Fill in the top line for the academic text you will read</w:t>
            </w:r>
            <w:r w:rsidR="00B94BE8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: a chapter, a journal article, etc.</w:t>
            </w:r>
          </w:p>
          <w:p w14:paraId="4F273EDD" w14:textId="17C748E9" w:rsidR="00866A21" w:rsidRPr="007B40F5" w:rsidRDefault="00866A21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pp. 29-30 </w:t>
            </w:r>
            <w:hyperlink r:id="rId8" w:history="1">
              <w:r w:rsidRPr="005D166A">
                <w:rPr>
                  <w:rStyle w:val="Hyperlink"/>
                  <w:i/>
                  <w:iCs/>
                  <w:sz w:val="22"/>
                </w:rPr>
                <w:t xml:space="preserve">Skeleton </w:t>
              </w:r>
              <w:proofErr w:type="spellStart"/>
              <w:r w:rsidRPr="005D166A">
                <w:rPr>
                  <w:rStyle w:val="Hyperlink"/>
                  <w:sz w:val="22"/>
                </w:rPr>
                <w:t>ThinkSheet</w:t>
              </w:r>
              <w:proofErr w:type="spellEnd"/>
            </w:hyperlink>
            <w:r w:rsidR="00D76ADE">
              <w:rPr>
                <w:rStyle w:val="Hyperlink"/>
                <w:sz w:val="22"/>
              </w:rPr>
              <w:t>.</w:t>
            </w:r>
          </w:p>
        </w:tc>
      </w:tr>
      <w:tr w:rsidR="00866A21" w14:paraId="24194D09" w14:textId="77777777" w:rsidTr="00EF37FB">
        <w:tc>
          <w:tcPr>
            <w:tcW w:w="2155" w:type="dxa"/>
            <w:vAlign w:val="center"/>
          </w:tcPr>
          <w:p w14:paraId="2DFF453D" w14:textId="77777777" w:rsidR="00866A21" w:rsidRDefault="00866A21" w:rsidP="00EF37FB">
            <w:pPr>
              <w:rPr>
                <w:sz w:val="22"/>
              </w:rPr>
            </w:pPr>
            <w:r>
              <w:rPr>
                <w:sz w:val="22"/>
              </w:rPr>
              <w:t>7 Practice</w:t>
            </w:r>
          </w:p>
        </w:tc>
        <w:tc>
          <w:tcPr>
            <w:tcW w:w="6835" w:type="dxa"/>
            <w:vAlign w:val="center"/>
          </w:tcPr>
          <w:p w14:paraId="1EC080AC" w14:textId="4A74D7F3" w:rsidR="00016F0C" w:rsidRPr="00016F0C" w:rsidRDefault="00016F0C" w:rsidP="00016F0C">
            <w:pPr>
              <w:pStyle w:val="ListParagraph"/>
              <w:numPr>
                <w:ilvl w:val="0"/>
                <w:numId w:val="7"/>
              </w:numPr>
              <w:tabs>
                <w:tab w:val="left" w:pos="1170"/>
              </w:tabs>
              <w:spacing w:after="120"/>
              <w:ind w:left="706" w:hanging="706"/>
              <w:rPr>
                <w:rFonts w:asciiTheme="minorHAnsi" w:hAnsiTheme="minorHAnsi" w:cstheme="minorHAnsi"/>
                <w:color w:val="7030A0"/>
                <w:sz w:val="16"/>
                <w:szCs w:val="14"/>
              </w:rPr>
            </w:pPr>
            <w:bookmarkStart w:id="1" w:name="_Hlk120720722"/>
            <w:r w:rsidRPr="00016F0C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 xml:space="preserve">Practice the strategy with your chosen text. Follow the steps in the shaded box and those on the </w:t>
            </w:r>
            <w:proofErr w:type="spellStart"/>
            <w:r w:rsidRPr="00016F0C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>ThinkSheet</w:t>
            </w:r>
            <w:proofErr w:type="spellEnd"/>
            <w:r w:rsidRPr="00016F0C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 xml:space="preserve">. Be metacognitively aware about what you are doing and why. Complete the </w:t>
            </w:r>
            <w:proofErr w:type="spellStart"/>
            <w:r w:rsidRPr="00016F0C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>ThinkSheet</w:t>
            </w:r>
            <w:proofErr w:type="spellEnd"/>
            <w:r w:rsidRPr="00016F0C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>. (</w:t>
            </w:r>
            <w:r w:rsidR="00294630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>The Estimated Learning Time refers to the time it usually takes to learn the strategy—Steps 1-6, 8. It does not include the p</w:t>
            </w:r>
            <w:r w:rsidRPr="00016F0C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>ractice time</w:t>
            </w:r>
            <w:r w:rsidR="00294630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 xml:space="preserve"> because that</w:t>
            </w:r>
            <w:r w:rsidRPr="00016F0C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 xml:space="preserve"> var</w:t>
            </w:r>
            <w:r w:rsidR="00294630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>ies</w:t>
            </w:r>
            <w:r w:rsidRPr="00016F0C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 xml:space="preserve"> widely </w:t>
            </w:r>
            <w:r w:rsidR="00294630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>depending on your</w:t>
            </w:r>
            <w:r w:rsidRPr="00016F0C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 xml:space="preserve"> text and purpose</w:t>
            </w:r>
            <w:r w:rsidR="00294630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>—Steps 7, 9</w:t>
            </w:r>
            <w:r w:rsidRPr="00016F0C">
              <w:rPr>
                <w:rFonts w:asciiTheme="minorHAnsi" w:hAnsiTheme="minorHAnsi" w:cstheme="minorHAnsi"/>
                <w:color w:val="7030A0"/>
                <w:sz w:val="18"/>
                <w:szCs w:val="16"/>
              </w:rPr>
              <w:t xml:space="preserve">) </w:t>
            </w:r>
          </w:p>
          <w:bookmarkEnd w:id="1"/>
          <w:p w14:paraId="350FFFA4" w14:textId="6FFDC175" w:rsidR="00866A21" w:rsidRDefault="00866A21" w:rsidP="00EF37FB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S</w:t>
            </w:r>
            <w:r w:rsidRPr="0095404C">
              <w:rPr>
                <w:sz w:val="22"/>
              </w:rPr>
              <w:t xml:space="preserve">haded box, p. </w:t>
            </w:r>
            <w:r>
              <w:rPr>
                <w:sz w:val="22"/>
              </w:rPr>
              <w:t>27</w:t>
            </w:r>
            <w:r w:rsidRPr="0095404C">
              <w:rPr>
                <w:sz w:val="22"/>
              </w:rPr>
              <w:t xml:space="preserve"> </w:t>
            </w:r>
          </w:p>
          <w:p w14:paraId="41CEFF2F" w14:textId="77777777" w:rsidR="00866A21" w:rsidRDefault="00866A21" w:rsidP="00EF37FB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Instructions on </w:t>
            </w:r>
            <w:proofErr w:type="spellStart"/>
            <w:r>
              <w:rPr>
                <w:sz w:val="22"/>
              </w:rPr>
              <w:t>ThinkSheet</w:t>
            </w:r>
            <w:proofErr w:type="spellEnd"/>
            <w:r>
              <w:rPr>
                <w:sz w:val="22"/>
              </w:rPr>
              <w:t>, p. 29</w:t>
            </w:r>
          </w:p>
          <w:p w14:paraId="3D20884A" w14:textId="2A6AA0F2" w:rsidR="00866A21" w:rsidRPr="00EB69A7" w:rsidRDefault="00016F0C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Using the blank </w:t>
            </w:r>
            <w:proofErr w:type="spellStart"/>
            <w:r>
              <w:rPr>
                <w:sz w:val="22"/>
              </w:rPr>
              <w:t>ThinkSheet</w:t>
            </w:r>
            <w:proofErr w:type="spellEnd"/>
            <w:r>
              <w:rPr>
                <w:sz w:val="22"/>
              </w:rPr>
              <w:t>, d</w:t>
            </w:r>
            <w:r w:rsidR="00866A21">
              <w:rPr>
                <w:sz w:val="22"/>
              </w:rPr>
              <w:t xml:space="preserve">o a </w:t>
            </w:r>
            <w:r w:rsidR="00866A21">
              <w:rPr>
                <w:i/>
                <w:iCs/>
                <w:sz w:val="22"/>
              </w:rPr>
              <w:t xml:space="preserve">Skeleton </w:t>
            </w:r>
            <w:r w:rsidR="00866A21">
              <w:rPr>
                <w:sz w:val="22"/>
              </w:rPr>
              <w:t>of your own text.</w:t>
            </w:r>
          </w:p>
        </w:tc>
      </w:tr>
      <w:tr w:rsidR="00866A21" w14:paraId="21F69FA9" w14:textId="77777777" w:rsidTr="00EF37FB">
        <w:tc>
          <w:tcPr>
            <w:tcW w:w="2155" w:type="dxa"/>
            <w:vAlign w:val="center"/>
          </w:tcPr>
          <w:p w14:paraId="79AD170D" w14:textId="77777777" w:rsidR="00866A21" w:rsidRDefault="00866A21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8 Review</w:t>
            </w:r>
          </w:p>
        </w:tc>
        <w:tc>
          <w:tcPr>
            <w:tcW w:w="6835" w:type="dxa"/>
            <w:vAlign w:val="center"/>
          </w:tcPr>
          <w:p w14:paraId="0443C841" w14:textId="77777777" w:rsidR="00591493" w:rsidRPr="00591493" w:rsidRDefault="00016F0C" w:rsidP="00591493">
            <w:pPr>
              <w:tabs>
                <w:tab w:val="left" w:pos="1170"/>
              </w:tabs>
              <w:rPr>
                <w:sz w:val="22"/>
              </w:rPr>
            </w:pPr>
            <w:bookmarkStart w:id="2" w:name="_Hlk120720930"/>
            <w:r w:rsidRPr="0059149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Return to the questions at the beginning of the </w:t>
            </w:r>
            <w:proofErr w:type="gramStart"/>
            <w:r w:rsidRPr="0059149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Principle</w:t>
            </w:r>
            <w:proofErr w:type="gramEnd"/>
            <w:r w:rsidRPr="0059149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. Answer them. Look up the terms in the key concepts box if you haven’t already</w:t>
            </w:r>
            <w:r w:rsidR="00D76ADE" w:rsidRPr="0059149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or have forgotten them</w:t>
            </w:r>
            <w:r w:rsidRPr="0059149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—see </w:t>
            </w:r>
            <w:r w:rsidRPr="00591493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Glossary of Key Concepts </w:t>
            </w:r>
            <w:r w:rsidRPr="0059149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(pp. 333-344). These definitions will enhance your understanding. </w:t>
            </w:r>
            <w:bookmarkEnd w:id="2"/>
          </w:p>
          <w:p w14:paraId="005A4430" w14:textId="5A2CD066" w:rsidR="00866A21" w:rsidRPr="00591493" w:rsidRDefault="00866A21" w:rsidP="00591493">
            <w:pPr>
              <w:tabs>
                <w:tab w:val="left" w:pos="1170"/>
              </w:tabs>
              <w:ind w:left="-14"/>
              <w:rPr>
                <w:sz w:val="22"/>
              </w:rPr>
            </w:pPr>
            <w:r w:rsidRPr="00591493">
              <w:rPr>
                <w:sz w:val="22"/>
              </w:rPr>
              <w:t>p. 25b</w:t>
            </w:r>
            <w:r w:rsidR="00EC7CDA" w:rsidRPr="00591493">
              <w:rPr>
                <w:sz w:val="22"/>
              </w:rPr>
              <w:t xml:space="preserve"> </w:t>
            </w:r>
            <w:r w:rsidR="00EC7CDA" w:rsidRPr="00591493">
              <w:rPr>
                <w:color w:val="7030A0"/>
                <w:sz w:val="18"/>
                <w:szCs w:val="18"/>
              </w:rPr>
              <w:t>(the list of questions)</w:t>
            </w:r>
            <w:r w:rsidRPr="00591493">
              <w:rPr>
                <w:sz w:val="22"/>
              </w:rPr>
              <w:t>, Answer 1,2 and 5</w:t>
            </w:r>
          </w:p>
        </w:tc>
      </w:tr>
      <w:tr w:rsidR="00866A21" w14:paraId="534F2197" w14:textId="77777777" w:rsidTr="00EF37FB">
        <w:tc>
          <w:tcPr>
            <w:tcW w:w="2155" w:type="dxa"/>
            <w:vAlign w:val="center"/>
          </w:tcPr>
          <w:p w14:paraId="0D57CF0C" w14:textId="77777777" w:rsidR="00866A21" w:rsidRDefault="00866A21" w:rsidP="00EF37FB">
            <w:pPr>
              <w:rPr>
                <w:sz w:val="22"/>
              </w:rPr>
            </w:pPr>
            <w:r>
              <w:rPr>
                <w:sz w:val="22"/>
              </w:rPr>
              <w:t>9 More Practice*</w:t>
            </w:r>
          </w:p>
        </w:tc>
        <w:tc>
          <w:tcPr>
            <w:tcW w:w="6835" w:type="dxa"/>
            <w:vAlign w:val="center"/>
          </w:tcPr>
          <w:p w14:paraId="49501F0A" w14:textId="77777777" w:rsidR="00591493" w:rsidRPr="00591493" w:rsidRDefault="00591493" w:rsidP="00591493">
            <w:pPr>
              <w:tabs>
                <w:tab w:val="left" w:pos="1170"/>
              </w:tabs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59149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Later, use the strategy on other texts. Refer to the </w:t>
            </w:r>
            <w:proofErr w:type="spellStart"/>
            <w:r w:rsidRPr="0059149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ThinkSheet</w:t>
            </w:r>
            <w:proofErr w:type="spellEnd"/>
            <w:r w:rsidRPr="0059149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as needed and always use </w:t>
            </w:r>
            <w:r w:rsidRPr="00591493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metacognitive awareness</w:t>
            </w:r>
            <w:r w:rsidRPr="0059149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to adapt the strategy to fit the demands of each text situation. </w:t>
            </w:r>
          </w:p>
          <w:p w14:paraId="7CAEA725" w14:textId="610DD965" w:rsidR="00866A21" w:rsidRDefault="00591493" w:rsidP="00EF37F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In the next few days,</w:t>
            </w:r>
            <w:r w:rsidR="00866A21">
              <w:rPr>
                <w:sz w:val="22"/>
              </w:rPr>
              <w:t xml:space="preserve"> practice </w:t>
            </w:r>
            <w:r w:rsidR="00866A21">
              <w:rPr>
                <w:i/>
                <w:iCs/>
                <w:sz w:val="22"/>
              </w:rPr>
              <w:t xml:space="preserve">Skeleton </w:t>
            </w:r>
            <w:r w:rsidR="00866A21">
              <w:rPr>
                <w:sz w:val="22"/>
              </w:rPr>
              <w:t xml:space="preserve">on other texts (best of all, do a </w:t>
            </w:r>
            <w:r w:rsidR="00866A21" w:rsidRPr="00BF545C">
              <w:rPr>
                <w:i/>
                <w:iCs/>
                <w:sz w:val="22"/>
              </w:rPr>
              <w:t>Skeleton</w:t>
            </w:r>
            <w:r w:rsidR="00866A21">
              <w:rPr>
                <w:sz w:val="22"/>
              </w:rPr>
              <w:t xml:space="preserve"> soon for every text you are to read this semester!).</w:t>
            </w:r>
          </w:p>
        </w:tc>
      </w:tr>
    </w:tbl>
    <w:p w14:paraId="1DC86E1B" w14:textId="77777777" w:rsidR="00866A21" w:rsidRDefault="00866A21" w:rsidP="00866A21">
      <w:pPr>
        <w:spacing w:after="0" w:line="276" w:lineRule="auto"/>
        <w:ind w:left="720"/>
        <w:rPr>
          <w:b/>
          <w:bCs/>
          <w:sz w:val="28"/>
          <w:szCs w:val="28"/>
        </w:rPr>
      </w:pPr>
    </w:p>
    <w:p w14:paraId="6EF969B1" w14:textId="77777777" w:rsidR="00136C60" w:rsidRDefault="00136C60" w:rsidP="00866A21"/>
    <w:p w14:paraId="7028B782" w14:textId="77777777" w:rsidR="00136C60" w:rsidRDefault="00136C60" w:rsidP="00866A21"/>
    <w:sectPr w:rsidR="00136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69B0"/>
    <w:multiLevelType w:val="hybridMultilevel"/>
    <w:tmpl w:val="C61011EE"/>
    <w:lvl w:ilvl="0" w:tplc="FFFFFFFF">
      <w:start w:val="1"/>
      <w:numFmt w:val="decimal"/>
      <w:lvlText w:val="___ 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D163226"/>
    <w:multiLevelType w:val="hybridMultilevel"/>
    <w:tmpl w:val="A34C3198"/>
    <w:lvl w:ilvl="0" w:tplc="FFFFFFFF">
      <w:start w:val="1"/>
      <w:numFmt w:val="decimal"/>
      <w:lvlText w:val="___ %1."/>
      <w:lvlJc w:val="left"/>
      <w:pPr>
        <w:ind w:left="81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37CF"/>
    <w:multiLevelType w:val="hybridMultilevel"/>
    <w:tmpl w:val="DD627F02"/>
    <w:lvl w:ilvl="0" w:tplc="FFFFFFFF">
      <w:start w:val="8"/>
      <w:numFmt w:val="decimal"/>
      <w:lvlText w:val="___ %1."/>
      <w:lvlJc w:val="left"/>
      <w:pPr>
        <w:ind w:left="144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4A4E"/>
    <w:multiLevelType w:val="hybridMultilevel"/>
    <w:tmpl w:val="E8C8E19C"/>
    <w:lvl w:ilvl="0" w:tplc="FFFFFFFF">
      <w:start w:val="1"/>
      <w:numFmt w:val="decimal"/>
      <w:lvlText w:val="___ %1."/>
      <w:lvlJc w:val="left"/>
      <w:pPr>
        <w:ind w:left="81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6530E"/>
    <w:multiLevelType w:val="hybridMultilevel"/>
    <w:tmpl w:val="4672D5D8"/>
    <w:lvl w:ilvl="0" w:tplc="A3D6FB6E">
      <w:start w:val="1"/>
      <w:numFmt w:val="decimal"/>
      <w:lvlText w:val="___ %1."/>
      <w:lvlJc w:val="left"/>
      <w:pPr>
        <w:ind w:left="81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0F70"/>
    <w:multiLevelType w:val="hybridMultilevel"/>
    <w:tmpl w:val="DD627F02"/>
    <w:lvl w:ilvl="0" w:tplc="464C242E">
      <w:start w:val="8"/>
      <w:numFmt w:val="decimal"/>
      <w:lvlText w:val="___ 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F20"/>
    <w:multiLevelType w:val="hybridMultilevel"/>
    <w:tmpl w:val="87A2F48C"/>
    <w:lvl w:ilvl="0" w:tplc="E3E2E864">
      <w:start w:val="1"/>
      <w:numFmt w:val="decimal"/>
      <w:lvlText w:val="__ 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A3157"/>
    <w:multiLevelType w:val="hybridMultilevel"/>
    <w:tmpl w:val="5136077A"/>
    <w:lvl w:ilvl="0" w:tplc="F942DD86">
      <w:start w:val="5"/>
      <w:numFmt w:val="decimal"/>
      <w:lvlText w:val="__ %1."/>
      <w:lvlJc w:val="left"/>
      <w:pPr>
        <w:ind w:left="810" w:hanging="360"/>
      </w:pPr>
      <w:rPr>
        <w:rFonts w:hint="default"/>
        <w:i w:val="0"/>
        <w:iCs w:val="0"/>
        <w:color w:val="7030A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9312E"/>
    <w:multiLevelType w:val="hybridMultilevel"/>
    <w:tmpl w:val="38C43CB2"/>
    <w:lvl w:ilvl="0" w:tplc="3DF2F932">
      <w:start w:val="7"/>
      <w:numFmt w:val="decimal"/>
      <w:lvlText w:val="___ %1."/>
      <w:lvlJc w:val="left"/>
      <w:pPr>
        <w:ind w:left="81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83A35"/>
    <w:multiLevelType w:val="hybridMultilevel"/>
    <w:tmpl w:val="C39E0220"/>
    <w:lvl w:ilvl="0" w:tplc="02583ADC">
      <w:start w:val="1"/>
      <w:numFmt w:val="decimal"/>
      <w:lvlText w:val="___ %1."/>
      <w:lvlJc w:val="left"/>
      <w:pPr>
        <w:ind w:left="81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714E2"/>
    <w:multiLevelType w:val="hybridMultilevel"/>
    <w:tmpl w:val="F53C9296"/>
    <w:lvl w:ilvl="0" w:tplc="E3E2E864">
      <w:start w:val="1"/>
      <w:numFmt w:val="decimal"/>
      <w:lvlText w:val="__ 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74A70258"/>
    <w:multiLevelType w:val="hybridMultilevel"/>
    <w:tmpl w:val="C61011EE"/>
    <w:lvl w:ilvl="0" w:tplc="FFFFFFFF">
      <w:start w:val="1"/>
      <w:numFmt w:val="decimal"/>
      <w:lvlText w:val="___ %1."/>
      <w:lvlJc w:val="left"/>
      <w:pPr>
        <w:ind w:left="81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309EB"/>
    <w:multiLevelType w:val="hybridMultilevel"/>
    <w:tmpl w:val="C61011EE"/>
    <w:lvl w:ilvl="0" w:tplc="FFFFFFFF">
      <w:start w:val="1"/>
      <w:numFmt w:val="decimal"/>
      <w:lvlText w:val="___ %1."/>
      <w:lvlJc w:val="left"/>
      <w:pPr>
        <w:ind w:left="81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67444"/>
    <w:multiLevelType w:val="hybridMultilevel"/>
    <w:tmpl w:val="C61011EE"/>
    <w:lvl w:ilvl="0" w:tplc="FFFFFFFF">
      <w:start w:val="1"/>
      <w:numFmt w:val="decimal"/>
      <w:lvlText w:val="___ %1."/>
      <w:lvlJc w:val="left"/>
      <w:pPr>
        <w:ind w:left="810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0933">
    <w:abstractNumId w:val="4"/>
  </w:num>
  <w:num w:numId="2" w16cid:durableId="108625915">
    <w:abstractNumId w:val="1"/>
  </w:num>
  <w:num w:numId="3" w16cid:durableId="1388333549">
    <w:abstractNumId w:val="9"/>
  </w:num>
  <w:num w:numId="4" w16cid:durableId="2074232242">
    <w:abstractNumId w:val="8"/>
  </w:num>
  <w:num w:numId="5" w16cid:durableId="1191410778">
    <w:abstractNumId w:val="3"/>
  </w:num>
  <w:num w:numId="6" w16cid:durableId="2027244730">
    <w:abstractNumId w:val="6"/>
  </w:num>
  <w:num w:numId="7" w16cid:durableId="1519387226">
    <w:abstractNumId w:val="7"/>
  </w:num>
  <w:num w:numId="8" w16cid:durableId="1521551499">
    <w:abstractNumId w:val="10"/>
  </w:num>
  <w:num w:numId="9" w16cid:durableId="199902994">
    <w:abstractNumId w:val="11"/>
  </w:num>
  <w:num w:numId="10" w16cid:durableId="1454668196">
    <w:abstractNumId w:val="0"/>
  </w:num>
  <w:num w:numId="11" w16cid:durableId="824400370">
    <w:abstractNumId w:val="12"/>
  </w:num>
  <w:num w:numId="12" w16cid:durableId="1044989143">
    <w:abstractNumId w:val="5"/>
  </w:num>
  <w:num w:numId="13" w16cid:durableId="551161431">
    <w:abstractNumId w:val="13"/>
  </w:num>
  <w:num w:numId="14" w16cid:durableId="1347168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21"/>
    <w:rsid w:val="00016F0C"/>
    <w:rsid w:val="000E2407"/>
    <w:rsid w:val="000F5EC0"/>
    <w:rsid w:val="00136C60"/>
    <w:rsid w:val="00154001"/>
    <w:rsid w:val="0016203D"/>
    <w:rsid w:val="001C3E48"/>
    <w:rsid w:val="001E200F"/>
    <w:rsid w:val="0027468A"/>
    <w:rsid w:val="00294630"/>
    <w:rsid w:val="002C464F"/>
    <w:rsid w:val="0034306F"/>
    <w:rsid w:val="003760F2"/>
    <w:rsid w:val="003B4EC1"/>
    <w:rsid w:val="003C526F"/>
    <w:rsid w:val="003D2868"/>
    <w:rsid w:val="00451DBD"/>
    <w:rsid w:val="00470999"/>
    <w:rsid w:val="00490ED0"/>
    <w:rsid w:val="004A2622"/>
    <w:rsid w:val="00502CED"/>
    <w:rsid w:val="005202C2"/>
    <w:rsid w:val="00540FEF"/>
    <w:rsid w:val="00591493"/>
    <w:rsid w:val="00592E95"/>
    <w:rsid w:val="005D166A"/>
    <w:rsid w:val="005D2285"/>
    <w:rsid w:val="00716FCA"/>
    <w:rsid w:val="00765FF2"/>
    <w:rsid w:val="007A6D4D"/>
    <w:rsid w:val="007C12DD"/>
    <w:rsid w:val="007F1CC5"/>
    <w:rsid w:val="00851802"/>
    <w:rsid w:val="00852161"/>
    <w:rsid w:val="00866A21"/>
    <w:rsid w:val="008A3CDD"/>
    <w:rsid w:val="00911249"/>
    <w:rsid w:val="00914653"/>
    <w:rsid w:val="009A5031"/>
    <w:rsid w:val="00A420AA"/>
    <w:rsid w:val="00A46444"/>
    <w:rsid w:val="00A81B76"/>
    <w:rsid w:val="00AC32AE"/>
    <w:rsid w:val="00B55D32"/>
    <w:rsid w:val="00B94BE8"/>
    <w:rsid w:val="00CC6A88"/>
    <w:rsid w:val="00D76ADE"/>
    <w:rsid w:val="00DD43E7"/>
    <w:rsid w:val="00DE425E"/>
    <w:rsid w:val="00DE72CE"/>
    <w:rsid w:val="00DF2EFF"/>
    <w:rsid w:val="00E26B8C"/>
    <w:rsid w:val="00E6550A"/>
    <w:rsid w:val="00E91D18"/>
    <w:rsid w:val="00EB0284"/>
    <w:rsid w:val="00EB23FE"/>
    <w:rsid w:val="00EC7CDA"/>
    <w:rsid w:val="00F453A9"/>
    <w:rsid w:val="00F837CF"/>
    <w:rsid w:val="00F8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6150"/>
  <w15:chartTrackingRefBased/>
  <w15:docId w15:val="{BE4F2277-8F74-4E81-A776-FDDCD3AA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A2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A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1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aksonliteracy.com/wp-content/uploads/2022/07/29-Skelet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I_Gd2mZtaE&amp;t=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aksonliteracy.com/wp-content/uploads/2022/12/Handbook-pages-for-Sample-Lesson-Skeleton.pdf" TargetMode="External"/><Relationship Id="rId5" Type="http://schemas.openxmlformats.org/officeDocument/2006/relationships/hyperlink" Target="https://www.isaksonliteracy.com/wp-content/uploads/2022/12/Self-Instruction-CHECKLIST-Essential-Strategies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Marne Isakson</dc:creator>
  <cp:keywords/>
  <dc:description/>
  <cp:lastModifiedBy>Marne Isakson</cp:lastModifiedBy>
  <cp:revision>2</cp:revision>
  <dcterms:created xsi:type="dcterms:W3CDTF">2024-06-12T05:12:00Z</dcterms:created>
  <dcterms:modified xsi:type="dcterms:W3CDTF">2024-06-12T05:12:00Z</dcterms:modified>
</cp:coreProperties>
</file>