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044C3" w14:textId="77777777" w:rsidR="00391E43" w:rsidRPr="00391E43" w:rsidRDefault="00391E43" w:rsidP="00391E43">
      <w:pPr>
        <w:shd w:val="clear" w:color="auto" w:fill="FFFFFF"/>
        <w:spacing w:after="0" w:line="384" w:lineRule="atLeast"/>
        <w:textAlignment w:val="baseline"/>
        <w:outlineLvl w:val="1"/>
        <w:rPr>
          <w:rFonts w:ascii="PT Sans" w:eastAsia="Times New Roman" w:hAnsi="PT Sans" w:cs="Times New Roman"/>
          <w:b/>
          <w:bCs/>
          <w:color w:val="303030"/>
          <w:sz w:val="45"/>
          <w:szCs w:val="45"/>
        </w:rPr>
      </w:pPr>
      <w:r w:rsidRPr="00391E43">
        <w:rPr>
          <w:rFonts w:ascii="inherit" w:eastAsia="Times New Roman" w:hAnsi="inherit" w:cs="Times New Roman"/>
          <w:b/>
          <w:bCs/>
          <w:i/>
          <w:iCs/>
          <w:color w:val="303030"/>
          <w:sz w:val="45"/>
          <w:szCs w:val="45"/>
          <w:bdr w:val="none" w:sz="0" w:space="0" w:color="auto" w:frame="1"/>
        </w:rPr>
        <w:t>Advanced Reading Strategies for College Success Course: </w:t>
      </w:r>
      <w:r w:rsidRPr="00391E43">
        <w:rPr>
          <w:rFonts w:ascii="inherit" w:eastAsia="Times New Roman" w:hAnsi="inherit" w:cs="Times New Roman"/>
          <w:b/>
          <w:bCs/>
          <w:color w:val="303030"/>
          <w:sz w:val="45"/>
          <w:szCs w:val="45"/>
          <w:bdr w:val="none" w:sz="0" w:space="0" w:color="auto" w:frame="1"/>
        </w:rPr>
        <w:t>28 Strategies that Make a Difference</w:t>
      </w:r>
    </w:p>
    <w:p w14:paraId="40EABE06" w14:textId="77777777" w:rsidR="00391E43" w:rsidRPr="00391E43" w:rsidRDefault="00391E43" w:rsidP="00391E43">
      <w:pPr>
        <w:shd w:val="clear" w:color="auto" w:fill="FFFFFF"/>
        <w:spacing w:after="360" w:line="240" w:lineRule="auto"/>
        <w:textAlignment w:val="baseline"/>
        <w:rPr>
          <w:rFonts w:ascii="PT Sans" w:eastAsia="Times New Roman" w:hAnsi="PT Sans" w:cs="Times New Roman"/>
          <w:color w:val="303030"/>
          <w:sz w:val="24"/>
          <w:szCs w:val="24"/>
        </w:rPr>
      </w:pPr>
      <w:r w:rsidRPr="00391E43">
        <w:rPr>
          <w:rFonts w:ascii="PT Sans" w:eastAsia="Times New Roman" w:hAnsi="PT Sans" w:cs="Times New Roman"/>
          <w:color w:val="303030"/>
          <w:sz w:val="24"/>
          <w:szCs w:val="24"/>
        </w:rPr>
        <w:t>A course to teach you essential and scholarly reading strategies, to apply them with metacognitive awareness, and to use flexible reading rates with your academic reading. It has been offered as a traditional course and as a flipped course.</w:t>
      </w:r>
    </w:p>
    <w:p w14:paraId="0888D1D3" w14:textId="043EFE9B" w:rsidR="00391E43" w:rsidRPr="00391E43" w:rsidRDefault="00391E43" w:rsidP="00391E43">
      <w:pPr>
        <w:shd w:val="clear" w:color="auto" w:fill="FFFFFF"/>
        <w:spacing w:after="360" w:line="240" w:lineRule="auto"/>
        <w:textAlignment w:val="baseline"/>
        <w:rPr>
          <w:rFonts w:ascii="PT Sans" w:eastAsia="Times New Roman" w:hAnsi="PT Sans" w:cs="Times New Roman"/>
          <w:color w:val="303030"/>
          <w:sz w:val="24"/>
          <w:szCs w:val="24"/>
        </w:rPr>
      </w:pPr>
      <w:r w:rsidRPr="00391E43">
        <w:rPr>
          <w:rFonts w:ascii="PT Sans" w:eastAsia="Times New Roman" w:hAnsi="PT Sans" w:cs="Times New Roman"/>
          <w:color w:val="303030"/>
          <w:sz w:val="24"/>
          <w:szCs w:val="24"/>
          <w:u w:val="single"/>
        </w:rPr>
        <w:t>Target audience</w:t>
      </w:r>
      <w:r w:rsidRPr="00391E43">
        <w:rPr>
          <w:rFonts w:ascii="PT Sans" w:eastAsia="Times New Roman" w:hAnsi="PT Sans" w:cs="Times New Roman"/>
          <w:color w:val="303030"/>
          <w:sz w:val="24"/>
          <w:szCs w:val="24"/>
        </w:rPr>
        <w:t>:  college upperclassmen, graduate students, and diligent underclassmen.</w:t>
      </w:r>
    </w:p>
    <w:p w14:paraId="03E63B29" w14:textId="3CE38D89" w:rsidR="00391E43" w:rsidRPr="00391E43" w:rsidRDefault="00391E43" w:rsidP="00391E43">
      <w:pPr>
        <w:shd w:val="clear" w:color="auto" w:fill="FFFFFF"/>
        <w:spacing w:after="0" w:line="240" w:lineRule="auto"/>
        <w:textAlignment w:val="baseline"/>
        <w:rPr>
          <w:rFonts w:ascii="PT Sans" w:eastAsia="Times New Roman" w:hAnsi="PT Sans" w:cs="Times New Roman"/>
          <w:color w:val="303030"/>
          <w:sz w:val="24"/>
          <w:szCs w:val="24"/>
        </w:rPr>
      </w:pPr>
      <w:r>
        <w:rPr>
          <w:rFonts w:ascii="PT Sans" w:eastAsia="Times New Roman" w:hAnsi="PT Sans" w:cs="Times New Roman"/>
          <w:color w:val="303030"/>
          <w:sz w:val="24"/>
          <w:szCs w:val="24"/>
          <w:u w:val="single"/>
        </w:rPr>
        <w:t>Description</w:t>
      </w:r>
      <w:r>
        <w:rPr>
          <w:rFonts w:ascii="PT Sans" w:eastAsia="Times New Roman" w:hAnsi="PT Sans" w:cs="Times New Roman"/>
          <w:color w:val="303030"/>
          <w:sz w:val="24"/>
          <w:szCs w:val="24"/>
        </w:rPr>
        <w:t xml:space="preserve">: </w:t>
      </w:r>
    </w:p>
    <w:p w14:paraId="32784D84" w14:textId="7FBA2339" w:rsidR="00391E43" w:rsidRPr="00391E43" w:rsidRDefault="000F72FA" w:rsidP="00391E43">
      <w:pPr>
        <w:shd w:val="clear" w:color="auto" w:fill="FFFFFF"/>
        <w:spacing w:after="360" w:line="240" w:lineRule="auto"/>
        <w:textAlignment w:val="baseline"/>
        <w:rPr>
          <w:rFonts w:ascii="PT Sans" w:eastAsia="Times New Roman" w:hAnsi="PT Sans" w:cs="Times New Roman"/>
          <w:color w:val="303030"/>
          <w:sz w:val="24"/>
          <w:szCs w:val="24"/>
        </w:rPr>
      </w:pPr>
      <w:r w:rsidRPr="00391E43">
        <w:rPr>
          <w:rFonts w:ascii="inherit" w:eastAsia="Times New Roman" w:hAnsi="inherit" w:cs="Times New Roman"/>
          <w:noProof/>
          <w:color w:val="1279BE"/>
          <w:sz w:val="24"/>
          <w:szCs w:val="24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202E71CB" wp14:editId="7EDFA377">
            <wp:simplePos x="0" y="0"/>
            <wp:positionH relativeFrom="margin">
              <wp:posOffset>-45720</wp:posOffset>
            </wp:positionH>
            <wp:positionV relativeFrom="paragraph">
              <wp:posOffset>607695</wp:posOffset>
            </wp:positionV>
            <wp:extent cx="2750185" cy="3672840"/>
            <wp:effectExtent l="0" t="0" r="0" b="3810"/>
            <wp:wrapTight wrapText="bothSides">
              <wp:wrapPolygon edited="0">
                <wp:start x="0" y="0"/>
                <wp:lineTo x="0" y="21510"/>
                <wp:lineTo x="21396" y="21510"/>
                <wp:lineTo x="21396" y="0"/>
                <wp:lineTo x="0" y="0"/>
              </wp:wrapPolygon>
            </wp:wrapTight>
            <wp:docPr id="1" name="Pictur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185" cy="367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1E43" w:rsidRPr="00391E43">
        <w:rPr>
          <w:rFonts w:ascii="PT Sans" w:eastAsia="Times New Roman" w:hAnsi="PT Sans" w:cs="Times New Roman"/>
          <w:color w:val="303030"/>
          <w:sz w:val="24"/>
          <w:szCs w:val="24"/>
        </w:rPr>
        <w:t xml:space="preserve">As now constituted, </w:t>
      </w:r>
      <w:r w:rsidR="00391E43">
        <w:rPr>
          <w:rFonts w:ascii="PT Sans" w:eastAsia="Times New Roman" w:hAnsi="PT Sans" w:cs="Times New Roman"/>
          <w:color w:val="303030"/>
          <w:sz w:val="24"/>
          <w:szCs w:val="24"/>
        </w:rPr>
        <w:t xml:space="preserve">this </w:t>
      </w:r>
      <w:r w:rsidR="00391E43" w:rsidRPr="00391E43">
        <w:rPr>
          <w:rFonts w:ascii="PT Sans" w:eastAsia="Times New Roman" w:hAnsi="PT Sans" w:cs="Times New Roman"/>
          <w:color w:val="303030"/>
          <w:sz w:val="24"/>
          <w:szCs w:val="24"/>
        </w:rPr>
        <w:t>two-credit hour course teaches 28 strategies: 50 minutes twice a week.</w:t>
      </w:r>
    </w:p>
    <w:p w14:paraId="4C428E94" w14:textId="77FAC9BB" w:rsidR="00391E43" w:rsidRPr="00391E43" w:rsidRDefault="00391E43" w:rsidP="00391E43">
      <w:pPr>
        <w:shd w:val="clear" w:color="auto" w:fill="FFFFFF"/>
        <w:spacing w:after="360" w:line="240" w:lineRule="auto"/>
        <w:textAlignment w:val="baseline"/>
        <w:rPr>
          <w:rFonts w:ascii="PT Sans" w:eastAsia="Times New Roman" w:hAnsi="PT Sans" w:cs="Times New Roman"/>
          <w:color w:val="303030"/>
          <w:sz w:val="24"/>
          <w:szCs w:val="24"/>
        </w:rPr>
      </w:pPr>
      <w:r w:rsidRPr="00391E43">
        <w:rPr>
          <w:rFonts w:ascii="PT Sans" w:eastAsia="Times New Roman" w:hAnsi="PT Sans" w:cs="Times New Roman"/>
          <w:color w:val="303030"/>
          <w:sz w:val="24"/>
          <w:szCs w:val="24"/>
          <w:u w:val="single"/>
        </w:rPr>
        <w:t>Flipped Model</w:t>
      </w:r>
      <w:r w:rsidRPr="00391E43">
        <w:rPr>
          <w:rFonts w:ascii="PT Sans" w:eastAsia="Times New Roman" w:hAnsi="PT Sans" w:cs="Times New Roman"/>
          <w:color w:val="303030"/>
          <w:sz w:val="24"/>
          <w:szCs w:val="24"/>
        </w:rPr>
        <w:t>: Before class you read about the strategy in handbook, watch a demonstration of it, and practice it on your own text.  During class you debrief out-of-class learning experiences, are coached while practicing strategies on texts for your other classes, debrief the practice session, and have occasional speeding up labs and strategy-integration days.  After class you practice on your own texts.</w:t>
      </w:r>
    </w:p>
    <w:p w14:paraId="3064A480" w14:textId="77777777" w:rsidR="00391E43" w:rsidRPr="00391E43" w:rsidRDefault="00391E43" w:rsidP="00391E43">
      <w:pPr>
        <w:shd w:val="clear" w:color="auto" w:fill="FFFFFF"/>
        <w:spacing w:after="360" w:line="240" w:lineRule="auto"/>
        <w:textAlignment w:val="baseline"/>
        <w:rPr>
          <w:rFonts w:ascii="PT Sans" w:eastAsia="Times New Roman" w:hAnsi="PT Sans" w:cs="Times New Roman"/>
          <w:color w:val="303030"/>
          <w:sz w:val="24"/>
          <w:szCs w:val="24"/>
        </w:rPr>
      </w:pPr>
      <w:r w:rsidRPr="00391E43">
        <w:rPr>
          <w:rFonts w:ascii="PT Sans" w:eastAsia="Times New Roman" w:hAnsi="PT Sans" w:cs="Times New Roman"/>
          <w:color w:val="303030"/>
          <w:sz w:val="24"/>
          <w:szCs w:val="24"/>
          <w:u w:val="single"/>
        </w:rPr>
        <w:t>The Traditional Model</w:t>
      </w:r>
      <w:r w:rsidRPr="00391E43">
        <w:rPr>
          <w:rFonts w:ascii="PT Sans" w:eastAsia="Times New Roman" w:hAnsi="PT Sans" w:cs="Times New Roman"/>
          <w:color w:val="303030"/>
          <w:sz w:val="24"/>
          <w:szCs w:val="24"/>
        </w:rPr>
        <w:t>: Same as the Flipped Model except you only read about the strategy before class, and during class, you do the same plus review the strategy more and watch a short demonstration.  After class you watch the full video demonstration and practice on your own texts. This has been offered as an 80-minute class twice a week with a built-in speeding-up lab, held the last 20 minutes of class.</w:t>
      </w:r>
    </w:p>
    <w:p w14:paraId="20078916" w14:textId="3F18B536" w:rsidR="00391E43" w:rsidRPr="00391E43" w:rsidRDefault="00391E43" w:rsidP="00391E43">
      <w:pPr>
        <w:shd w:val="clear" w:color="auto" w:fill="FFFFFF"/>
        <w:spacing w:after="0" w:line="240" w:lineRule="auto"/>
        <w:textAlignment w:val="baseline"/>
        <w:rPr>
          <w:rFonts w:ascii="PT Sans" w:eastAsia="Times New Roman" w:hAnsi="PT Sans" w:cs="Times New Roman"/>
          <w:color w:val="303030"/>
          <w:sz w:val="24"/>
          <w:szCs w:val="24"/>
        </w:rPr>
      </w:pPr>
      <w:r w:rsidRPr="00391E43">
        <w:rPr>
          <w:rFonts w:ascii="PT Sans" w:eastAsia="Times New Roman" w:hAnsi="PT Sans" w:cs="Times New Roman"/>
          <w:color w:val="303030"/>
          <w:sz w:val="24"/>
          <w:szCs w:val="24"/>
        </w:rPr>
        <w:t xml:space="preserve">In both versions, you learn ten principles for speeding up your academic reading.  You also learn and practice 10 types of speeding-up drills using a pacing device: the Increase App or </w:t>
      </w:r>
      <w:proofErr w:type="spellStart"/>
      <w:r w:rsidRPr="00391E43">
        <w:rPr>
          <w:rFonts w:ascii="PT Sans" w:eastAsia="Times New Roman" w:hAnsi="PT Sans" w:cs="Times New Roman"/>
          <w:color w:val="303030"/>
          <w:sz w:val="24"/>
          <w:szCs w:val="24"/>
        </w:rPr>
        <w:t>ReadMate</w:t>
      </w:r>
      <w:r w:rsidRPr="00391E43">
        <w:rPr>
          <w:rFonts w:ascii="inherit" w:eastAsia="Times New Roman" w:hAnsi="inherit" w:cs="Times New Roman"/>
          <w:color w:val="303030"/>
          <w:sz w:val="18"/>
          <w:szCs w:val="18"/>
          <w:bdr w:val="none" w:sz="0" w:space="0" w:color="auto" w:frame="1"/>
          <w:vertAlign w:val="superscript"/>
        </w:rPr>
        <w:t>TM</w:t>
      </w:r>
      <w:proofErr w:type="spellEnd"/>
      <w:r w:rsidRPr="00391E43">
        <w:rPr>
          <w:rFonts w:ascii="PT Sans" w:eastAsia="Times New Roman" w:hAnsi="PT Sans" w:cs="Times New Roman"/>
          <w:color w:val="303030"/>
          <w:sz w:val="24"/>
          <w:szCs w:val="24"/>
        </w:rPr>
        <w:t xml:space="preserve">.  </w:t>
      </w:r>
      <w:r>
        <w:rPr>
          <w:rFonts w:ascii="PT Sans" w:eastAsia="Times New Roman" w:hAnsi="PT Sans" w:cs="Times New Roman"/>
          <w:color w:val="303030"/>
          <w:sz w:val="24"/>
          <w:szCs w:val="24"/>
        </w:rPr>
        <w:t>The</w:t>
      </w:r>
      <w:r w:rsidRPr="00391E43">
        <w:rPr>
          <w:rFonts w:ascii="PT Sans" w:eastAsia="Times New Roman" w:hAnsi="PT Sans" w:cs="Times New Roman"/>
          <w:color w:val="303030"/>
          <w:sz w:val="24"/>
          <w:szCs w:val="24"/>
        </w:rPr>
        <w:t xml:space="preserve"> purpose is less about becoming a speed reader and more about helping </w:t>
      </w:r>
      <w:r w:rsidRPr="00391E43">
        <w:rPr>
          <w:rFonts w:ascii="PT Sans" w:eastAsia="Times New Roman" w:hAnsi="PT Sans" w:cs="Times New Roman"/>
          <w:color w:val="303030"/>
          <w:sz w:val="24"/>
          <w:szCs w:val="24"/>
        </w:rPr>
        <w:lastRenderedPageBreak/>
        <w:t>you complete your challenging academic texts with good understanding and in a timely way.</w:t>
      </w:r>
    </w:p>
    <w:p w14:paraId="5C22C883" w14:textId="77777777" w:rsidR="00391E43" w:rsidRPr="00391E43" w:rsidRDefault="00391E43" w:rsidP="00391E43">
      <w:pPr>
        <w:shd w:val="clear" w:color="auto" w:fill="FFFFFF"/>
        <w:spacing w:after="0" w:line="240" w:lineRule="auto"/>
        <w:textAlignment w:val="baseline"/>
        <w:rPr>
          <w:rFonts w:ascii="PT Sans" w:eastAsia="Times New Roman" w:hAnsi="PT Sans" w:cs="Times New Roman"/>
          <w:color w:val="303030"/>
          <w:sz w:val="24"/>
          <w:szCs w:val="24"/>
        </w:rPr>
      </w:pPr>
      <w:r w:rsidRPr="00391E43">
        <w:rPr>
          <w:rFonts w:ascii="PT Sans" w:eastAsia="Times New Roman" w:hAnsi="PT Sans" w:cs="Times New Roman"/>
          <w:color w:val="303030"/>
          <w:sz w:val="24"/>
          <w:szCs w:val="24"/>
        </w:rPr>
        <w:t>Growing out of our research with expert readers and college readers, we have developed, taught, and refined the course </w:t>
      </w:r>
      <w:r w:rsidRPr="00391E43">
        <w:rPr>
          <w:rFonts w:ascii="inherit" w:eastAsia="Times New Roman" w:hAnsi="inherit" w:cs="Times New Roman"/>
          <w:i/>
          <w:iCs/>
          <w:color w:val="303030"/>
          <w:sz w:val="24"/>
          <w:szCs w:val="24"/>
          <w:bdr w:val="none" w:sz="0" w:space="0" w:color="auto" w:frame="1"/>
        </w:rPr>
        <w:t>Advanced Reading Strategies for College Success.  </w:t>
      </w:r>
      <w:r w:rsidRPr="00391E43">
        <w:rPr>
          <w:rFonts w:ascii="PT Sans" w:eastAsia="Times New Roman" w:hAnsi="PT Sans" w:cs="Times New Roman"/>
          <w:color w:val="303030"/>
          <w:sz w:val="24"/>
          <w:szCs w:val="24"/>
        </w:rPr>
        <w:t>Both course formats (traditional and flipped) are hands-on workshops where you learn and practice strategies to process texts to make sense, remember, speed up when appropriate, and think critically and creatively.</w:t>
      </w:r>
    </w:p>
    <w:p w14:paraId="3D733A48" w14:textId="77777777" w:rsidR="00391E43" w:rsidRPr="00391E43" w:rsidRDefault="00391E43" w:rsidP="00391E43">
      <w:pPr>
        <w:shd w:val="clear" w:color="auto" w:fill="FFFFFF"/>
        <w:spacing w:after="360" w:line="240" w:lineRule="auto"/>
        <w:textAlignment w:val="baseline"/>
        <w:rPr>
          <w:rFonts w:ascii="PT Sans" w:eastAsia="Times New Roman" w:hAnsi="PT Sans" w:cs="Times New Roman"/>
          <w:color w:val="303030"/>
          <w:sz w:val="24"/>
          <w:szCs w:val="24"/>
        </w:rPr>
      </w:pPr>
      <w:r w:rsidRPr="00391E43">
        <w:rPr>
          <w:rFonts w:ascii="PT Sans" w:eastAsia="Times New Roman" w:hAnsi="PT Sans" w:cs="Times New Roman"/>
          <w:color w:val="303030"/>
          <w:sz w:val="24"/>
          <w:szCs w:val="24"/>
        </w:rPr>
        <w:t>Each course format addresses five essential questions:</w:t>
      </w:r>
    </w:p>
    <w:p w14:paraId="088FBD31" w14:textId="77777777" w:rsidR="00391E43" w:rsidRPr="00391E43" w:rsidRDefault="00391E43" w:rsidP="00391E43">
      <w:pPr>
        <w:shd w:val="clear" w:color="auto" w:fill="FFFFFF"/>
        <w:spacing w:after="0" w:line="240" w:lineRule="auto"/>
        <w:textAlignment w:val="baseline"/>
        <w:rPr>
          <w:rFonts w:ascii="PT Sans" w:eastAsia="Times New Roman" w:hAnsi="PT Sans" w:cs="Times New Roman"/>
          <w:color w:val="303030"/>
          <w:sz w:val="24"/>
          <w:szCs w:val="24"/>
        </w:rPr>
      </w:pPr>
      <w:r w:rsidRPr="00391E43">
        <w:rPr>
          <w:rFonts w:ascii="inherit" w:eastAsia="Times New Roman" w:hAnsi="inherit" w:cs="Times New Roman"/>
          <w:i/>
          <w:iCs/>
          <w:color w:val="303030"/>
          <w:sz w:val="24"/>
          <w:szCs w:val="24"/>
          <w:bdr w:val="none" w:sz="0" w:space="0" w:color="auto" w:frame="1"/>
        </w:rPr>
        <w:t>1. What effective strategies can I use before, during, and after reading to actively construct meaning and remember important information?</w:t>
      </w:r>
      <w:r w:rsidRPr="00391E43">
        <w:rPr>
          <w:rFonts w:ascii="PT Sans" w:eastAsia="Times New Roman" w:hAnsi="PT Sans" w:cs="Times New Roman"/>
          <w:color w:val="303030"/>
          <w:sz w:val="24"/>
          <w:szCs w:val="24"/>
        </w:rPr>
        <w:br/>
      </w:r>
      <w:r w:rsidRPr="00391E43">
        <w:rPr>
          <w:rFonts w:ascii="inherit" w:eastAsia="Times New Roman" w:hAnsi="inherit" w:cs="Times New Roman"/>
          <w:i/>
          <w:iCs/>
          <w:color w:val="303030"/>
          <w:sz w:val="24"/>
          <w:szCs w:val="24"/>
          <w:bdr w:val="none" w:sz="0" w:space="0" w:color="auto" w:frame="1"/>
        </w:rPr>
        <w:t>2. How can I speed up my reading while being sure I understand the important points?</w:t>
      </w:r>
      <w:r w:rsidRPr="00391E43">
        <w:rPr>
          <w:rFonts w:ascii="PT Sans" w:eastAsia="Times New Roman" w:hAnsi="PT Sans" w:cs="Times New Roman"/>
          <w:color w:val="303030"/>
          <w:sz w:val="24"/>
          <w:szCs w:val="24"/>
        </w:rPr>
        <w:br/>
      </w:r>
      <w:r w:rsidRPr="00391E43">
        <w:rPr>
          <w:rFonts w:ascii="inherit" w:eastAsia="Times New Roman" w:hAnsi="inherit" w:cs="Times New Roman"/>
          <w:i/>
          <w:iCs/>
          <w:color w:val="303030"/>
          <w:sz w:val="24"/>
          <w:szCs w:val="24"/>
          <w:bdr w:val="none" w:sz="0" w:space="0" w:color="auto" w:frame="1"/>
        </w:rPr>
        <w:t>3. How do I adapt the reading strategies to the wide variety of texts I have to read and under what conditions, why, and how could I integrate and adapt each strategy?</w:t>
      </w:r>
      <w:r w:rsidRPr="00391E43">
        <w:rPr>
          <w:rFonts w:ascii="PT Sans" w:eastAsia="Times New Roman" w:hAnsi="PT Sans" w:cs="Times New Roman"/>
          <w:color w:val="303030"/>
          <w:sz w:val="24"/>
          <w:szCs w:val="24"/>
        </w:rPr>
        <w:br/>
      </w:r>
      <w:r w:rsidRPr="00391E43">
        <w:rPr>
          <w:rFonts w:ascii="inherit" w:eastAsia="Times New Roman" w:hAnsi="inherit" w:cs="Times New Roman"/>
          <w:i/>
          <w:iCs/>
          <w:color w:val="303030"/>
          <w:sz w:val="24"/>
          <w:szCs w:val="24"/>
          <w:bdr w:val="none" w:sz="0" w:space="0" w:color="auto" w:frame="1"/>
        </w:rPr>
        <w:t>4. What can I do to avoid undue stress about my reading assignments and instead fully engage in the reading experience with skill and confidence?</w:t>
      </w:r>
      <w:r w:rsidRPr="00391E43">
        <w:rPr>
          <w:rFonts w:ascii="PT Sans" w:eastAsia="Times New Roman" w:hAnsi="PT Sans" w:cs="Times New Roman"/>
          <w:color w:val="303030"/>
          <w:sz w:val="24"/>
          <w:szCs w:val="24"/>
        </w:rPr>
        <w:br/>
      </w:r>
      <w:r w:rsidRPr="00391E43">
        <w:rPr>
          <w:rFonts w:ascii="inherit" w:eastAsia="Times New Roman" w:hAnsi="inherit" w:cs="Times New Roman"/>
          <w:i/>
          <w:iCs/>
          <w:color w:val="303030"/>
          <w:sz w:val="24"/>
          <w:szCs w:val="24"/>
          <w:bdr w:val="none" w:sz="0" w:space="0" w:color="auto" w:frame="1"/>
        </w:rPr>
        <w:t>5. What can I do to become a more scholarly, critical, and creative reader of academic texts?</w:t>
      </w:r>
    </w:p>
    <w:p w14:paraId="5EE0772F" w14:textId="77777777" w:rsidR="00391E43" w:rsidRDefault="00391E43" w:rsidP="00391E43">
      <w:pPr>
        <w:shd w:val="clear" w:color="auto" w:fill="FFFFFF"/>
        <w:spacing w:after="0" w:line="240" w:lineRule="auto"/>
        <w:textAlignment w:val="baseline"/>
        <w:rPr>
          <w:rFonts w:ascii="PT Sans" w:eastAsia="Times New Roman" w:hAnsi="PT Sans" w:cs="Times New Roman"/>
          <w:color w:val="303030"/>
          <w:sz w:val="24"/>
          <w:szCs w:val="24"/>
        </w:rPr>
      </w:pPr>
    </w:p>
    <w:p w14:paraId="0D59BCE6" w14:textId="2E8B62B8" w:rsidR="00391E43" w:rsidRPr="000F72FA" w:rsidRDefault="00391E43" w:rsidP="000F72F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1279BE"/>
          <w:sz w:val="24"/>
          <w:szCs w:val="24"/>
          <w:u w:val="single"/>
          <w:bdr w:val="none" w:sz="0" w:space="0" w:color="auto" w:frame="1"/>
        </w:rPr>
      </w:pPr>
      <w:r w:rsidRPr="00391E43">
        <w:rPr>
          <w:rFonts w:ascii="PT Sans" w:eastAsia="Times New Roman" w:hAnsi="PT Sans" w:cs="Times New Roman"/>
          <w:color w:val="303030"/>
          <w:sz w:val="24"/>
          <w:szCs w:val="24"/>
        </w:rPr>
        <w:t>In this course offered since 2007 we have witnessed significant student progress in comprehension, reading rate, reading attitude, and metacognitive awareness.  </w:t>
      </w:r>
      <w:hyperlink r:id="rId7" w:history="1">
        <w:r w:rsidRPr="00391E43">
          <w:rPr>
            <w:rFonts w:ascii="inherit" w:eastAsia="Times New Roman" w:hAnsi="inherit" w:cs="Times New Roman"/>
            <w:color w:val="1279BE"/>
            <w:sz w:val="24"/>
            <w:szCs w:val="24"/>
            <w:u w:val="single"/>
            <w:bdr w:val="none" w:sz="0" w:space="0" w:color="auto" w:frame="1"/>
          </w:rPr>
          <w:t>Click here for research results.</w:t>
        </w:r>
      </w:hyperlink>
    </w:p>
    <w:p w14:paraId="68D51214" w14:textId="77777777" w:rsidR="00391E43" w:rsidRDefault="00391E43" w:rsidP="00391E43">
      <w:pPr>
        <w:shd w:val="clear" w:color="auto" w:fill="FFFFFF"/>
        <w:spacing w:after="0" w:line="240" w:lineRule="auto"/>
        <w:textAlignment w:val="baseline"/>
        <w:rPr>
          <w:rFonts w:ascii="PT Sans" w:eastAsia="Times New Roman" w:hAnsi="PT Sans" w:cs="Times New Roman"/>
          <w:color w:val="303030"/>
          <w:sz w:val="24"/>
          <w:szCs w:val="24"/>
        </w:rPr>
      </w:pPr>
    </w:p>
    <w:p w14:paraId="46B06A98" w14:textId="64493DCF" w:rsidR="00391E43" w:rsidRPr="00391E43" w:rsidRDefault="00391E43" w:rsidP="00391E43">
      <w:pPr>
        <w:shd w:val="clear" w:color="auto" w:fill="FFFFFF"/>
        <w:spacing w:after="0" w:line="240" w:lineRule="auto"/>
        <w:textAlignment w:val="baseline"/>
        <w:rPr>
          <w:rFonts w:ascii="PT Sans" w:eastAsia="Times New Roman" w:hAnsi="PT Sans" w:cs="Times New Roman"/>
          <w:color w:val="303030"/>
          <w:sz w:val="24"/>
          <w:szCs w:val="24"/>
        </w:rPr>
      </w:pPr>
      <w:r w:rsidRPr="00391E43">
        <w:rPr>
          <w:rFonts w:ascii="PT Sans" w:eastAsia="Times New Roman" w:hAnsi="PT Sans" w:cs="Times New Roman"/>
          <w:color w:val="303030"/>
          <w:sz w:val="24"/>
          <w:szCs w:val="24"/>
          <w:u w:val="single"/>
        </w:rPr>
        <w:t>Materials</w:t>
      </w:r>
      <w:r w:rsidRPr="00391E43">
        <w:rPr>
          <w:rFonts w:ascii="PT Sans" w:eastAsia="Times New Roman" w:hAnsi="PT Sans" w:cs="Times New Roman"/>
          <w:color w:val="303030"/>
          <w:sz w:val="24"/>
          <w:szCs w:val="24"/>
        </w:rPr>
        <w:t xml:space="preserve"> for this course include the </w:t>
      </w:r>
      <w:r w:rsidRPr="00391E43">
        <w:rPr>
          <w:rFonts w:ascii="inherit" w:eastAsia="Times New Roman" w:hAnsi="inherit" w:cs="Times New Roman"/>
          <w:i/>
          <w:iCs/>
          <w:color w:val="303030"/>
          <w:sz w:val="24"/>
          <w:szCs w:val="24"/>
          <w:bdr w:val="none" w:sz="0" w:space="0" w:color="auto" w:frame="1"/>
        </w:rPr>
        <w:t>Learn More &amp; Read Faster Handbook </w:t>
      </w:r>
      <w:r w:rsidRPr="00391E43">
        <w:rPr>
          <w:rFonts w:ascii="PT Sans" w:eastAsia="Times New Roman" w:hAnsi="PT Sans" w:cs="Times New Roman"/>
          <w:color w:val="303030"/>
          <w:sz w:val="24"/>
          <w:szCs w:val="24"/>
        </w:rPr>
        <w:t>and a pacing device.</w:t>
      </w:r>
    </w:p>
    <w:p w14:paraId="78F6150B" w14:textId="77777777" w:rsidR="00391E43" w:rsidRPr="00391E43" w:rsidRDefault="00391E43" w:rsidP="00391E4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03030"/>
          <w:sz w:val="24"/>
          <w:szCs w:val="24"/>
        </w:rPr>
      </w:pPr>
      <w:r w:rsidRPr="00391E43">
        <w:rPr>
          <w:rFonts w:ascii="inherit" w:eastAsia="Times New Roman" w:hAnsi="inherit" w:cs="Times New Roman"/>
          <w:color w:val="303030"/>
          <w:sz w:val="24"/>
          <w:szCs w:val="24"/>
        </w:rPr>
        <w:t>The handbook </w:t>
      </w:r>
      <w:r w:rsidRPr="00391E43">
        <w:rPr>
          <w:rFonts w:ascii="inherit" w:eastAsia="Times New Roman" w:hAnsi="inherit" w:cs="Times New Roman"/>
          <w:i/>
          <w:iCs/>
          <w:color w:val="303030"/>
          <w:sz w:val="24"/>
          <w:szCs w:val="24"/>
          <w:bdr w:val="none" w:sz="0" w:space="0" w:color="auto" w:frame="1"/>
        </w:rPr>
        <w:t xml:space="preserve">Learn More &amp; Read </w:t>
      </w:r>
      <w:proofErr w:type="gramStart"/>
      <w:r w:rsidRPr="00391E43">
        <w:rPr>
          <w:rFonts w:ascii="inherit" w:eastAsia="Times New Roman" w:hAnsi="inherit" w:cs="Times New Roman"/>
          <w:i/>
          <w:iCs/>
          <w:color w:val="303030"/>
          <w:sz w:val="24"/>
          <w:szCs w:val="24"/>
          <w:bdr w:val="none" w:sz="0" w:space="0" w:color="auto" w:frame="1"/>
        </w:rPr>
        <w:t>Faster,  </w:t>
      </w:r>
      <w:r w:rsidRPr="00391E43">
        <w:rPr>
          <w:rFonts w:ascii="inherit" w:eastAsia="Times New Roman" w:hAnsi="inherit" w:cs="Times New Roman"/>
          <w:color w:val="303030"/>
          <w:sz w:val="24"/>
          <w:szCs w:val="24"/>
        </w:rPr>
        <w:t>4</w:t>
      </w:r>
      <w:proofErr w:type="gramEnd"/>
      <w:r w:rsidRPr="00391E43">
        <w:rPr>
          <w:rFonts w:ascii="inherit" w:eastAsia="Times New Roman" w:hAnsi="inherit" w:cs="Times New Roman"/>
          <w:color w:val="303030"/>
          <w:sz w:val="24"/>
          <w:szCs w:val="24"/>
        </w:rPr>
        <w:t>th© 2021, 358 pages. Order </w:t>
      </w:r>
      <w:hyperlink r:id="rId8" w:history="1">
        <w:r w:rsidRPr="00391E43">
          <w:rPr>
            <w:rFonts w:ascii="inherit" w:eastAsia="Times New Roman" w:hAnsi="inherit" w:cs="Times New Roman"/>
            <w:color w:val="1279BE"/>
            <w:sz w:val="24"/>
            <w:szCs w:val="24"/>
            <w:u w:val="single"/>
            <w:bdr w:val="none" w:sz="0" w:space="0" w:color="auto" w:frame="1"/>
          </w:rPr>
          <w:t>here</w:t>
        </w:r>
      </w:hyperlink>
      <w:r w:rsidRPr="00391E43">
        <w:rPr>
          <w:rFonts w:ascii="inherit" w:eastAsia="Times New Roman" w:hAnsi="inherit" w:cs="Times New Roman"/>
          <w:color w:val="303030"/>
          <w:sz w:val="24"/>
          <w:szCs w:val="24"/>
        </w:rPr>
        <w:t>.</w:t>
      </w:r>
    </w:p>
    <w:p w14:paraId="1392404F" w14:textId="77777777" w:rsidR="00391E43" w:rsidRPr="00391E43" w:rsidRDefault="00391E43" w:rsidP="00391E4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03030"/>
          <w:sz w:val="24"/>
          <w:szCs w:val="24"/>
        </w:rPr>
      </w:pPr>
      <w:r w:rsidRPr="00391E43">
        <w:rPr>
          <w:rFonts w:ascii="inherit" w:eastAsia="Times New Roman" w:hAnsi="inherit" w:cs="Times New Roman"/>
          <w:color w:val="303030"/>
          <w:sz w:val="24"/>
          <w:szCs w:val="24"/>
        </w:rPr>
        <w:t>A pacing device to increase your reading rate. Choose ONE of these:</w:t>
      </w:r>
    </w:p>
    <w:p w14:paraId="6CB9CD2B" w14:textId="77777777" w:rsidR="00391E43" w:rsidRPr="00391E43" w:rsidRDefault="00391E43" w:rsidP="00391E43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0" w:line="240" w:lineRule="auto"/>
        <w:ind w:left="1170"/>
        <w:textAlignment w:val="baseline"/>
        <w:rPr>
          <w:rFonts w:ascii="inherit" w:eastAsia="Times New Roman" w:hAnsi="inherit" w:cs="Times New Roman"/>
          <w:color w:val="303030"/>
          <w:sz w:val="24"/>
          <w:szCs w:val="24"/>
        </w:rPr>
      </w:pPr>
      <w:r w:rsidRPr="00391E43">
        <w:rPr>
          <w:rFonts w:ascii="inherit" w:eastAsia="Times New Roman" w:hAnsi="inherit" w:cs="Times New Roman"/>
          <w:color w:val="303030"/>
          <w:sz w:val="24"/>
          <w:szCs w:val="24"/>
        </w:rPr>
        <w:t>The </w:t>
      </w:r>
      <w:r w:rsidRPr="00391E43">
        <w:rPr>
          <w:rFonts w:ascii="inherit" w:eastAsia="Times New Roman" w:hAnsi="inherit" w:cs="Times New Roman"/>
          <w:i/>
          <w:iCs/>
          <w:color w:val="303030"/>
          <w:sz w:val="24"/>
          <w:szCs w:val="24"/>
          <w:bdr w:val="none" w:sz="0" w:space="0" w:color="auto" w:frame="1"/>
        </w:rPr>
        <w:t>Increase App</w:t>
      </w:r>
      <w:r w:rsidRPr="00391E43">
        <w:rPr>
          <w:rFonts w:ascii="inherit" w:eastAsia="Times New Roman" w:hAnsi="inherit" w:cs="Times New Roman"/>
          <w:color w:val="303030"/>
          <w:sz w:val="24"/>
          <w:szCs w:val="24"/>
        </w:rPr>
        <w:t>: available for your smart phone at </w:t>
      </w:r>
      <w:hyperlink r:id="rId9" w:history="1">
        <w:r w:rsidRPr="00391E43">
          <w:rPr>
            <w:rFonts w:ascii="inherit" w:eastAsia="Times New Roman" w:hAnsi="inherit" w:cs="Times New Roman"/>
            <w:color w:val="1279BE"/>
            <w:sz w:val="24"/>
            <w:szCs w:val="24"/>
            <w:u w:val="single"/>
            <w:bdr w:val="none" w:sz="0" w:space="0" w:color="auto" w:frame="1"/>
          </w:rPr>
          <w:t>https://increaseapp.com</w:t>
        </w:r>
      </w:hyperlink>
      <w:r w:rsidRPr="00391E43">
        <w:rPr>
          <w:rFonts w:ascii="inherit" w:eastAsia="Times New Roman" w:hAnsi="inherit" w:cs="Times New Roman"/>
          <w:color w:val="303030"/>
          <w:sz w:val="24"/>
          <w:szCs w:val="24"/>
        </w:rPr>
        <w:t>. For questions, e-mail: support@increaseapp.com; cost: $9.99.            OR</w:t>
      </w:r>
    </w:p>
    <w:p w14:paraId="2F00ECD9" w14:textId="4B5E9A2C" w:rsidR="00391E43" w:rsidRPr="00E931A6" w:rsidRDefault="00391E43" w:rsidP="00E931A6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0" w:line="240" w:lineRule="auto"/>
        <w:ind w:left="1170"/>
        <w:textAlignment w:val="baseline"/>
        <w:rPr>
          <w:rFonts w:ascii="inherit" w:eastAsia="Times New Roman" w:hAnsi="inherit" w:cs="Times New Roman"/>
          <w:color w:val="0000FF"/>
          <w:sz w:val="24"/>
          <w:szCs w:val="24"/>
          <w:u w:val="single"/>
        </w:rPr>
      </w:pPr>
      <w:r w:rsidRPr="00391E43">
        <w:rPr>
          <w:rFonts w:ascii="inherit" w:eastAsia="Times New Roman" w:hAnsi="inherit" w:cs="Times New Roman"/>
          <w:color w:val="303030"/>
          <w:sz w:val="24"/>
          <w:szCs w:val="24"/>
        </w:rPr>
        <w:t>The </w:t>
      </w:r>
      <w:proofErr w:type="spellStart"/>
      <w:r w:rsidRPr="00391E43">
        <w:rPr>
          <w:rFonts w:ascii="inherit" w:eastAsia="Times New Roman" w:hAnsi="inherit" w:cs="Times New Roman"/>
          <w:i/>
          <w:iCs/>
          <w:color w:val="303030"/>
          <w:sz w:val="24"/>
          <w:szCs w:val="24"/>
          <w:bdr w:val="none" w:sz="0" w:space="0" w:color="auto" w:frame="1"/>
        </w:rPr>
        <w:t>ReadMate</w:t>
      </w:r>
      <w:proofErr w:type="spellEnd"/>
      <w:r w:rsidRPr="00391E43">
        <w:rPr>
          <w:rFonts w:ascii="inherit" w:eastAsia="Times New Roman" w:hAnsi="inherit" w:cs="Times New Roman"/>
          <w:i/>
          <w:iCs/>
          <w:color w:val="303030"/>
          <w:sz w:val="24"/>
          <w:szCs w:val="24"/>
          <w:bdr w:val="none" w:sz="0" w:space="0" w:color="auto" w:frame="1"/>
        </w:rPr>
        <w:t>:</w:t>
      </w:r>
      <w:r>
        <w:rPr>
          <w:rFonts w:ascii="inherit" w:eastAsia="Times New Roman" w:hAnsi="inherit" w:cs="Times New Roman"/>
          <w:i/>
          <w:iCs/>
          <w:color w:val="303030"/>
          <w:sz w:val="24"/>
          <w:szCs w:val="24"/>
          <w:bdr w:val="none" w:sz="0" w:space="0" w:color="auto" w:frame="1"/>
        </w:rPr>
        <w:t xml:space="preserve"> </w:t>
      </w:r>
      <w:r w:rsidRPr="00391E43">
        <w:rPr>
          <w:rFonts w:ascii="inherit" w:eastAsia="Times New Roman" w:hAnsi="inherit" w:cs="Times New Roman"/>
          <w:color w:val="303030"/>
          <w:sz w:val="24"/>
          <w:szCs w:val="24"/>
        </w:rPr>
        <w:t>a handheld device about the size of a small cassette player is no longer being produced, but you might be able to find a used one on the internet, eBay, etc.</w:t>
      </w:r>
      <w:r w:rsidR="00C666F7">
        <w:rPr>
          <w:rFonts w:ascii="inherit" w:eastAsia="Times New Roman" w:hAnsi="inherit" w:cs="Times New Roman"/>
          <w:color w:val="303030"/>
          <w:sz w:val="24"/>
          <w:szCs w:val="24"/>
        </w:rPr>
        <w:t xml:space="preserve"> See a </w:t>
      </w:r>
      <w:hyperlink r:id="rId10" w:history="1">
        <w:r w:rsidR="00C666F7" w:rsidRPr="00E931A6">
          <w:rPr>
            <w:rStyle w:val="Hyperlink"/>
            <w:rFonts w:ascii="inherit" w:eastAsia="Times New Roman" w:hAnsi="inherit" w:cs="Times New Roman"/>
            <w:sz w:val="24"/>
            <w:szCs w:val="24"/>
          </w:rPr>
          <w:t xml:space="preserve">photo of </w:t>
        </w:r>
        <w:proofErr w:type="spellStart"/>
        <w:r w:rsidR="00E931A6" w:rsidRPr="00E931A6">
          <w:rPr>
            <w:rStyle w:val="Hyperlink"/>
            <w:rFonts w:ascii="inherit" w:eastAsia="Times New Roman" w:hAnsi="inherit" w:cs="Times New Roman"/>
            <w:sz w:val="24"/>
            <w:szCs w:val="24"/>
          </w:rPr>
          <w:t>ReadMate</w:t>
        </w:r>
        <w:proofErr w:type="spellEnd"/>
      </w:hyperlink>
      <w:r w:rsidR="00E931A6" w:rsidRPr="00E931A6">
        <w:rPr>
          <w:rFonts w:ascii="inherit" w:eastAsia="Times New Roman" w:hAnsi="inherit" w:cs="Times New Roman"/>
          <w:color w:val="303030"/>
          <w:sz w:val="24"/>
          <w:szCs w:val="24"/>
        </w:rPr>
        <w:t xml:space="preserve"> here.</w:t>
      </w:r>
    </w:p>
    <w:p w14:paraId="757CB8E8" w14:textId="39BF4C1E" w:rsidR="00F7215E" w:rsidRDefault="00F7215E"/>
    <w:sectPr w:rsidR="00F721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E6A39"/>
    <w:multiLevelType w:val="multilevel"/>
    <w:tmpl w:val="9AA8B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8022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D23"/>
    <w:rsid w:val="000F72FA"/>
    <w:rsid w:val="003465C4"/>
    <w:rsid w:val="00391E43"/>
    <w:rsid w:val="007E4D23"/>
    <w:rsid w:val="00A37D1B"/>
    <w:rsid w:val="00A83F75"/>
    <w:rsid w:val="00C666F7"/>
    <w:rsid w:val="00CF2F51"/>
    <w:rsid w:val="00DE539D"/>
    <w:rsid w:val="00E931A6"/>
    <w:rsid w:val="00F7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51A0A"/>
  <w15:chartTrackingRefBased/>
  <w15:docId w15:val="{F79CC7FA-9295-4E01-901E-B45E0BFB2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91E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91E4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391E43"/>
    <w:rPr>
      <w:b/>
      <w:bCs/>
    </w:rPr>
  </w:style>
  <w:style w:type="character" w:styleId="Emphasis">
    <w:name w:val="Emphasis"/>
    <w:basedOn w:val="DefaultParagraphFont"/>
    <w:uiPriority w:val="20"/>
    <w:qFormat/>
    <w:rsid w:val="00391E4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9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91E4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3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6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ustore.com/9781611650334-BYU-CUSTOM-Learn-More-and-Read-Faster-3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saksonliteracy.com/effectivenes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isaksonliteracy.com/wp-content/uploads/2013/10/100413_pe_1243.jpg" TargetMode="External"/><Relationship Id="rId10" Type="http://schemas.openxmlformats.org/officeDocument/2006/relationships/hyperlink" Target="https://www.isaksonliteracy.com/readmat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creaseapp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Marne Isakson</dc:creator>
  <cp:keywords/>
  <dc:description/>
  <cp:lastModifiedBy>Marne Isakson</cp:lastModifiedBy>
  <cp:revision>2</cp:revision>
  <dcterms:created xsi:type="dcterms:W3CDTF">2022-11-29T15:05:00Z</dcterms:created>
  <dcterms:modified xsi:type="dcterms:W3CDTF">2022-11-29T15:05:00Z</dcterms:modified>
</cp:coreProperties>
</file>